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85" w:rsidRPr="00173DC3" w:rsidRDefault="00453E85" w:rsidP="00274C36">
      <w:pPr>
        <w:spacing w:after="0" w:line="240" w:lineRule="auto"/>
        <w:jc w:val="center"/>
        <w:rPr>
          <w:rFonts w:ascii="Times New Roman" w:eastAsia="Times New Roman" w:hAnsi="Times New Roman" w:cs="Times New Roman"/>
          <w:b/>
          <w:bCs/>
          <w:sz w:val="24"/>
          <w:szCs w:val="24"/>
        </w:rPr>
      </w:pPr>
      <w:r w:rsidRPr="00173DC3">
        <w:rPr>
          <w:rFonts w:ascii="Times New Roman" w:eastAsia="Times New Roman" w:hAnsi="Times New Roman" w:cs="Times New Roman"/>
          <w:b/>
          <w:bCs/>
          <w:sz w:val="24"/>
          <w:szCs w:val="24"/>
        </w:rPr>
        <w:t>REPUBLIKA E SHQIPËRISË</w:t>
      </w:r>
    </w:p>
    <w:p w:rsidR="00453E85" w:rsidRPr="00173DC3" w:rsidRDefault="00453E85" w:rsidP="00274C36">
      <w:pPr>
        <w:spacing w:after="0" w:line="240" w:lineRule="auto"/>
        <w:jc w:val="center"/>
        <w:rPr>
          <w:rFonts w:ascii="Times New Roman" w:eastAsia="Calibri" w:hAnsi="Times New Roman" w:cs="Times New Roman"/>
          <w:bCs/>
          <w:sz w:val="24"/>
          <w:szCs w:val="24"/>
          <w:lang w:eastAsia="en-GB"/>
        </w:rPr>
      </w:pPr>
      <w:r w:rsidRPr="00173DC3">
        <w:rPr>
          <w:rFonts w:ascii="Times New Roman" w:eastAsia="Calibri" w:hAnsi="Times New Roman" w:cs="Times New Roman"/>
          <w:b/>
          <w:bCs/>
          <w:sz w:val="24"/>
          <w:szCs w:val="24"/>
        </w:rPr>
        <w:t>KUVENDI</w:t>
      </w:r>
    </w:p>
    <w:p w:rsidR="003A38DC" w:rsidRPr="00173DC3" w:rsidRDefault="003A38DC" w:rsidP="00274C36">
      <w:pPr>
        <w:spacing w:after="0" w:line="240" w:lineRule="auto"/>
        <w:rPr>
          <w:rFonts w:ascii="Times New Roman" w:eastAsia="Times New Roman" w:hAnsi="Times New Roman" w:cs="Times New Roman"/>
          <w:b/>
          <w:bCs/>
          <w:sz w:val="24"/>
          <w:szCs w:val="24"/>
        </w:rPr>
      </w:pPr>
    </w:p>
    <w:p w:rsidR="0086360A" w:rsidRPr="00173DC3" w:rsidRDefault="0086360A" w:rsidP="00274C36">
      <w:pPr>
        <w:spacing w:after="0" w:line="240" w:lineRule="auto"/>
        <w:rPr>
          <w:rFonts w:ascii="Times New Roman" w:hAnsi="Times New Roman" w:cs="Times New Roman"/>
          <w:b/>
          <w:sz w:val="24"/>
          <w:szCs w:val="24"/>
        </w:rPr>
      </w:pPr>
    </w:p>
    <w:p w:rsidR="00420682" w:rsidRPr="00173DC3" w:rsidRDefault="00420682" w:rsidP="00274C36">
      <w:pPr>
        <w:spacing w:after="0" w:line="240" w:lineRule="auto"/>
        <w:jc w:val="center"/>
        <w:rPr>
          <w:rFonts w:ascii="Times New Roman" w:hAnsi="Times New Roman" w:cs="Times New Roman"/>
          <w:b/>
          <w:sz w:val="24"/>
          <w:szCs w:val="24"/>
        </w:rPr>
      </w:pPr>
      <w:r w:rsidRPr="00173DC3">
        <w:rPr>
          <w:rFonts w:ascii="Times New Roman" w:hAnsi="Times New Roman" w:cs="Times New Roman"/>
          <w:b/>
          <w:sz w:val="24"/>
          <w:szCs w:val="24"/>
        </w:rPr>
        <w:t>LIGJ</w:t>
      </w:r>
    </w:p>
    <w:p w:rsidR="00420682" w:rsidRPr="00173DC3" w:rsidRDefault="00420682" w:rsidP="00274C36">
      <w:pPr>
        <w:spacing w:after="0" w:line="240" w:lineRule="auto"/>
        <w:jc w:val="center"/>
        <w:rPr>
          <w:rFonts w:ascii="Times New Roman" w:hAnsi="Times New Roman" w:cs="Times New Roman"/>
          <w:b/>
          <w:sz w:val="24"/>
          <w:szCs w:val="24"/>
        </w:rPr>
      </w:pPr>
    </w:p>
    <w:p w:rsidR="00976A3C" w:rsidRPr="00173DC3" w:rsidRDefault="002009A1" w:rsidP="00274C36">
      <w:pPr>
        <w:spacing w:after="0" w:line="240" w:lineRule="auto"/>
        <w:jc w:val="center"/>
        <w:rPr>
          <w:rFonts w:ascii="Times New Roman" w:hAnsi="Times New Roman" w:cs="Times New Roman"/>
          <w:b/>
          <w:sz w:val="24"/>
          <w:szCs w:val="24"/>
        </w:rPr>
      </w:pPr>
      <w:r w:rsidRPr="00173DC3">
        <w:rPr>
          <w:rFonts w:ascii="Times New Roman" w:hAnsi="Times New Roman" w:cs="Times New Roman"/>
          <w:b/>
          <w:sz w:val="24"/>
          <w:szCs w:val="24"/>
        </w:rPr>
        <w:t xml:space="preserve">Nr. </w:t>
      </w:r>
      <w:r w:rsidR="00070BBA" w:rsidRPr="00173DC3">
        <w:rPr>
          <w:rFonts w:ascii="Times New Roman" w:hAnsi="Times New Roman" w:cs="Times New Roman"/>
          <w:b/>
          <w:sz w:val="24"/>
          <w:szCs w:val="24"/>
        </w:rPr>
        <w:t>84</w:t>
      </w:r>
      <w:r w:rsidR="003A754D" w:rsidRPr="00173DC3">
        <w:rPr>
          <w:rFonts w:ascii="Times New Roman" w:hAnsi="Times New Roman" w:cs="Times New Roman"/>
          <w:b/>
          <w:sz w:val="24"/>
          <w:szCs w:val="24"/>
        </w:rPr>
        <w:t>/2022</w:t>
      </w:r>
    </w:p>
    <w:p w:rsidR="00663243" w:rsidRPr="00173DC3" w:rsidRDefault="00663243" w:rsidP="00274C36">
      <w:pPr>
        <w:spacing w:after="0" w:line="240" w:lineRule="auto"/>
        <w:jc w:val="both"/>
        <w:rPr>
          <w:rFonts w:ascii="Times New Roman" w:hAnsi="Times New Roman" w:cs="Times New Roman"/>
          <w:bCs/>
          <w:sz w:val="24"/>
          <w:szCs w:val="24"/>
        </w:rPr>
      </w:pPr>
    </w:p>
    <w:p w:rsidR="00BD14E1" w:rsidRPr="00173DC3" w:rsidRDefault="003A754D" w:rsidP="00274C36">
      <w:pPr>
        <w:spacing w:after="0" w:line="240" w:lineRule="auto"/>
        <w:jc w:val="center"/>
        <w:rPr>
          <w:rFonts w:ascii="Times New Roman" w:hAnsi="Times New Roman" w:cs="Times New Roman"/>
          <w:b/>
          <w:bCs/>
          <w:sz w:val="24"/>
          <w:szCs w:val="24"/>
        </w:rPr>
      </w:pPr>
      <w:r w:rsidRPr="00173DC3">
        <w:rPr>
          <w:rFonts w:ascii="Times New Roman" w:hAnsi="Times New Roman" w:cs="Times New Roman"/>
          <w:b/>
          <w:bCs/>
          <w:sz w:val="24"/>
          <w:szCs w:val="24"/>
        </w:rPr>
        <w:t>PËR BUXHETIN E VITIT 2023</w:t>
      </w:r>
    </w:p>
    <w:p w:rsidR="005133A5" w:rsidRPr="00173DC3" w:rsidRDefault="005133A5" w:rsidP="005133A5">
      <w:pPr>
        <w:spacing w:after="0" w:line="240" w:lineRule="auto"/>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Në mbështetje të neneve 78, 83, pika 1, e 158 të </w:t>
      </w:r>
      <w:r w:rsidR="00B010DA" w:rsidRPr="00173DC3">
        <w:rPr>
          <w:rFonts w:ascii="Times New Roman" w:hAnsi="Times New Roman" w:cs="Times New Roman"/>
          <w:bCs/>
          <w:sz w:val="24"/>
          <w:szCs w:val="24"/>
        </w:rPr>
        <w:t xml:space="preserve">Kushtetutës dhe të nenit 30 të </w:t>
      </w:r>
      <w:r w:rsidRPr="00173DC3">
        <w:rPr>
          <w:rFonts w:ascii="Times New Roman" w:hAnsi="Times New Roman" w:cs="Times New Roman"/>
          <w:bCs/>
          <w:sz w:val="24"/>
          <w:szCs w:val="24"/>
        </w:rPr>
        <w:t xml:space="preserve">ligjit nr. 9936, datë 26.6.2008, “Për menaxhimin e sistemit buxhetor në Republikën e Shqipërisë”, të ndryshuar, me propozimin e Këshillit të Ministrave, </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K U V E N D I</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I REPUBLIKËS SË SHQIPËRISË</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V E N D O S I:</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KREU I</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BUXHETI</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l</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Buxheti për vitin 2023 është: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642 619</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 xml:space="preserve">698 117     </w:t>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Deficiti</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446366"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55 498</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Ai përbëhet nga buxheti i shtetit, bux</w:t>
      </w:r>
      <w:r w:rsidR="00B010DA" w:rsidRPr="00173DC3">
        <w:rPr>
          <w:rFonts w:ascii="Times New Roman" w:hAnsi="Times New Roman" w:cs="Times New Roman"/>
          <w:bCs/>
          <w:sz w:val="24"/>
          <w:szCs w:val="24"/>
        </w:rPr>
        <w:t>heti vendor dhe fondet speciale:</w:t>
      </w:r>
      <w:r w:rsidRPr="00173DC3">
        <w:rPr>
          <w:rFonts w:ascii="Times New Roman" w:hAnsi="Times New Roman" w:cs="Times New Roman"/>
          <w:bCs/>
          <w:sz w:val="24"/>
          <w:szCs w:val="24"/>
        </w:rPr>
        <w:t xml:space="preserve"> sigurimet shoqërore, sigurimet shëndetësore dhe kompensimi i ish-pronarëve.</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2</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Buxheti i shtetit për vitin 2023 është: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107009" w:rsidRPr="00173DC3">
        <w:rPr>
          <w:rFonts w:ascii="Times New Roman" w:hAnsi="Times New Roman" w:cs="Times New Roman"/>
          <w:bCs/>
          <w:sz w:val="24"/>
          <w:szCs w:val="24"/>
        </w:rPr>
        <w:t xml:space="preserve"> 485 366</w:t>
      </w:r>
      <w:r w:rsidR="00446366"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446366" w:rsidRPr="00173DC3">
        <w:rPr>
          <w:rFonts w:ascii="Times New Roman" w:hAnsi="Times New Roman" w:cs="Times New Roman"/>
          <w:bCs/>
          <w:sz w:val="24"/>
          <w:szCs w:val="24"/>
        </w:rPr>
        <w:t xml:space="preserve"> </w:t>
      </w:r>
      <w:r w:rsidR="00107009" w:rsidRPr="00173DC3">
        <w:rPr>
          <w:rFonts w:ascii="Times New Roman" w:hAnsi="Times New Roman" w:cs="Times New Roman"/>
          <w:bCs/>
          <w:sz w:val="24"/>
          <w:szCs w:val="24"/>
        </w:rPr>
        <w:t>540 864</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Deficiti</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446366"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55 498</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3</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Buxheti vendor për vitin 2023 është: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65 584</w:t>
      </w:r>
      <w:r w:rsidRPr="00173DC3">
        <w:rPr>
          <w:rFonts w:ascii="Times New Roman" w:hAnsi="Times New Roman" w:cs="Times New Roman"/>
          <w:bCs/>
          <w:sz w:val="24"/>
          <w:szCs w:val="24"/>
        </w:rPr>
        <w:tab/>
        <w:t xml:space="preserve"> </w:t>
      </w:r>
      <w:r w:rsidR="00E02EF5" w:rsidRPr="00173DC3">
        <w:rPr>
          <w:rFonts w:ascii="Times New Roman" w:hAnsi="Times New Roman" w:cs="Times New Roman"/>
          <w:bCs/>
          <w:sz w:val="24"/>
          <w:szCs w:val="24"/>
        </w:rPr>
        <w:tab/>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nga të cilat:</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transferta e pakushtëzuar e përgjithshme</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t>21 761</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transferta e pakus</w:t>
      </w:r>
      <w:r w:rsidR="00E02EF5" w:rsidRPr="00173DC3">
        <w:rPr>
          <w:rFonts w:ascii="Times New Roman" w:hAnsi="Times New Roman" w:cs="Times New Roman"/>
          <w:bCs/>
          <w:sz w:val="24"/>
          <w:szCs w:val="24"/>
        </w:rPr>
        <w:t>htëzuar sektoriale</w:t>
      </w:r>
      <w:r w:rsidR="00E02EF5" w:rsidRPr="00173DC3">
        <w:rPr>
          <w:rFonts w:ascii="Times New Roman" w:hAnsi="Times New Roman" w:cs="Times New Roman"/>
          <w:bCs/>
          <w:sz w:val="24"/>
          <w:szCs w:val="24"/>
        </w:rPr>
        <w:tab/>
      </w:r>
      <w:r w:rsidR="00E02EF5" w:rsidRPr="00173DC3">
        <w:rPr>
          <w:rFonts w:ascii="Times New Roman" w:hAnsi="Times New Roman" w:cs="Times New Roman"/>
          <w:bCs/>
          <w:sz w:val="24"/>
          <w:szCs w:val="24"/>
        </w:rPr>
        <w:tab/>
        <w:t xml:space="preserve"> </w:t>
      </w:r>
      <w:r w:rsidR="00E02EF5" w:rsidRPr="00173DC3">
        <w:rPr>
          <w:rFonts w:ascii="Times New Roman" w:hAnsi="Times New Roman" w:cs="Times New Roman"/>
          <w:bCs/>
          <w:sz w:val="24"/>
          <w:szCs w:val="24"/>
        </w:rPr>
        <w:tab/>
        <w:t xml:space="preserve"> </w:t>
      </w:r>
      <w:r w:rsidR="00340569" w:rsidRPr="00173DC3">
        <w:rPr>
          <w:rFonts w:ascii="Times New Roman" w:hAnsi="Times New Roman" w:cs="Times New Roman"/>
          <w:bCs/>
          <w:sz w:val="24"/>
          <w:szCs w:val="24"/>
        </w:rPr>
        <w:t xml:space="preserve"> </w:t>
      </w:r>
      <w:r w:rsidR="00E02EF5" w:rsidRPr="00173DC3">
        <w:rPr>
          <w:rFonts w:ascii="Times New Roman" w:hAnsi="Times New Roman" w:cs="Times New Roman"/>
          <w:bCs/>
          <w:sz w:val="24"/>
          <w:szCs w:val="24"/>
        </w:rPr>
        <w:t>9 890</w:t>
      </w:r>
      <w:r w:rsidR="00E02EF5" w:rsidRPr="00173DC3">
        <w:rPr>
          <w:rFonts w:ascii="Times New Roman" w:hAnsi="Times New Roman" w:cs="Times New Roman"/>
          <w:bCs/>
          <w:sz w:val="24"/>
          <w:szCs w:val="24"/>
        </w:rPr>
        <w:tab/>
      </w:r>
      <w:r w:rsidR="00E02EF5"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të ardhura të tjera</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t>33 933</w:t>
      </w:r>
      <w:r w:rsidR="00107009"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r>
      <w:r w:rsidR="00E02EF5"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t>65 584</w:t>
      </w:r>
      <w:r w:rsidR="00107009" w:rsidRPr="00173DC3">
        <w:rPr>
          <w:rFonts w:ascii="Times New Roman" w:hAnsi="Times New Roman" w:cs="Times New Roman"/>
          <w:bCs/>
          <w:sz w:val="24"/>
          <w:szCs w:val="24"/>
        </w:rPr>
        <w:tab/>
      </w:r>
      <w:r w:rsidR="00107009" w:rsidRPr="00173DC3">
        <w:rPr>
          <w:rFonts w:ascii="Times New Roman" w:hAnsi="Times New Roman" w:cs="Times New Roman"/>
          <w:bCs/>
          <w:sz w:val="24"/>
          <w:szCs w:val="24"/>
        </w:rPr>
        <w:tab/>
      </w:r>
      <w:r w:rsidR="00E02EF5"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E02EF5" w:rsidRPr="00173DC3" w:rsidRDefault="00E02EF5" w:rsidP="005133A5">
      <w:pPr>
        <w:spacing w:after="0" w:line="240" w:lineRule="auto"/>
        <w:jc w:val="center"/>
        <w:rPr>
          <w:rFonts w:ascii="Times New Roman" w:hAnsi="Times New Roman" w:cs="Times New Roman"/>
          <w:bCs/>
          <w:sz w:val="24"/>
          <w:szCs w:val="24"/>
        </w:rPr>
      </w:pPr>
    </w:p>
    <w:p w:rsidR="00E02EF5" w:rsidRPr="00173DC3" w:rsidRDefault="00E02EF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lastRenderedPageBreak/>
        <w:t>Neni 4</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Buxheti i sigurimeve shoqërore për vitin 2023 është: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l. Sigurimi i detyrueshëm, programet kompensuese dhe trajtimet e veçanta.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gjithsej</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7D23BF" w:rsidRPr="00173DC3">
        <w:rPr>
          <w:rFonts w:ascii="Times New Roman" w:hAnsi="Times New Roman" w:cs="Times New Roman"/>
          <w:bCs/>
          <w:sz w:val="24"/>
          <w:szCs w:val="24"/>
        </w:rPr>
        <w:tab/>
      </w:r>
      <w:r w:rsidRPr="00173DC3">
        <w:rPr>
          <w:rFonts w:ascii="Times New Roman" w:hAnsi="Times New Roman" w:cs="Times New Roman"/>
          <w:bCs/>
          <w:sz w:val="24"/>
          <w:szCs w:val="24"/>
        </w:rPr>
        <w:t>159 912</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nga të cilat: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kontributet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7D23BF" w:rsidRPr="00173DC3">
        <w:rPr>
          <w:rFonts w:ascii="Times New Roman" w:hAnsi="Times New Roman" w:cs="Times New Roman"/>
          <w:bCs/>
          <w:sz w:val="24"/>
          <w:szCs w:val="24"/>
        </w:rPr>
        <w:tab/>
      </w:r>
      <w:r w:rsidR="007D23BF" w:rsidRPr="00173DC3">
        <w:rPr>
          <w:rFonts w:ascii="Times New Roman" w:hAnsi="Times New Roman" w:cs="Times New Roman"/>
          <w:bCs/>
          <w:sz w:val="24"/>
          <w:szCs w:val="24"/>
        </w:rPr>
        <w:tab/>
      </w:r>
      <w:r w:rsidR="00DE40B9" w:rsidRPr="00173DC3">
        <w:rPr>
          <w:rFonts w:ascii="Times New Roman" w:hAnsi="Times New Roman" w:cs="Times New Roman"/>
          <w:bCs/>
          <w:sz w:val="24"/>
          <w:szCs w:val="24"/>
        </w:rPr>
        <w:t>107 833</w:t>
      </w:r>
      <w:r w:rsidRPr="00173DC3">
        <w:rPr>
          <w:rFonts w:ascii="Times New Roman" w:hAnsi="Times New Roman" w:cs="Times New Roman"/>
          <w:bCs/>
          <w:sz w:val="24"/>
          <w:szCs w:val="24"/>
        </w:rPr>
        <w:tab/>
        <w:t xml:space="preserve"> milionë lekë;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transferimet nga buxheti i shtetit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007D23BF" w:rsidRPr="00173DC3">
        <w:rPr>
          <w:rFonts w:ascii="Times New Roman" w:hAnsi="Times New Roman" w:cs="Times New Roman"/>
          <w:bCs/>
          <w:sz w:val="24"/>
          <w:szCs w:val="24"/>
        </w:rPr>
        <w:tab/>
      </w:r>
      <w:r w:rsidRPr="00173DC3">
        <w:rPr>
          <w:rFonts w:ascii="Times New Roman" w:hAnsi="Times New Roman" w:cs="Times New Roman"/>
          <w:bCs/>
          <w:sz w:val="24"/>
          <w:szCs w:val="24"/>
        </w:rPr>
        <w:t xml:space="preserve"> </w:t>
      </w:r>
      <w:r w:rsidR="007D23BF" w:rsidRPr="00173DC3">
        <w:rPr>
          <w:rFonts w:ascii="Times New Roman" w:hAnsi="Times New Roman" w:cs="Times New Roman"/>
          <w:bCs/>
          <w:sz w:val="24"/>
          <w:szCs w:val="24"/>
        </w:rPr>
        <w:t xml:space="preserve"> </w:t>
      </w:r>
      <w:r w:rsidR="00DE40B9" w:rsidRPr="00173DC3">
        <w:rPr>
          <w:rFonts w:ascii="Times New Roman" w:hAnsi="Times New Roman" w:cs="Times New Roman"/>
          <w:bCs/>
          <w:sz w:val="24"/>
          <w:szCs w:val="24"/>
        </w:rPr>
        <w:t>46 449</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transferta për indeksimin e pensioneve</w:t>
      </w:r>
      <w:r w:rsidRPr="00173DC3">
        <w:rPr>
          <w:rFonts w:ascii="Times New Roman" w:hAnsi="Times New Roman" w:cs="Times New Roman"/>
          <w:bCs/>
          <w:sz w:val="24"/>
          <w:szCs w:val="24"/>
        </w:rPr>
        <w:tab/>
        <w:t xml:space="preserve">       </w:t>
      </w:r>
      <w:r w:rsidR="007D23BF"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 xml:space="preserve"> </w:t>
      </w:r>
      <w:r w:rsidR="007D23BF" w:rsidRPr="00173DC3">
        <w:rPr>
          <w:rFonts w:ascii="Times New Roman" w:hAnsi="Times New Roman" w:cs="Times New Roman"/>
          <w:bCs/>
          <w:sz w:val="24"/>
          <w:szCs w:val="24"/>
        </w:rPr>
        <w:t xml:space="preserve"> </w:t>
      </w:r>
      <w:r w:rsidR="00DE40B9" w:rsidRPr="00173DC3">
        <w:rPr>
          <w:rFonts w:ascii="Times New Roman" w:hAnsi="Times New Roman" w:cs="Times New Roman"/>
          <w:bCs/>
          <w:sz w:val="24"/>
          <w:szCs w:val="24"/>
        </w:rPr>
        <w:t>2 100</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bonusi i pensionistëve</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ab/>
        <w:t xml:space="preserve">        </w:t>
      </w:r>
      <w:r w:rsidR="007D23BF"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3 530</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007D23BF" w:rsidRPr="00173DC3">
        <w:rPr>
          <w:rFonts w:ascii="Times New Roman" w:hAnsi="Times New Roman" w:cs="Times New Roman"/>
          <w:bCs/>
          <w:sz w:val="24"/>
          <w:szCs w:val="24"/>
        </w:rPr>
        <w:t xml:space="preserve">       </w:t>
      </w:r>
      <w:r w:rsidR="00402EF9" w:rsidRPr="00173DC3">
        <w:rPr>
          <w:rFonts w:ascii="Times New Roman" w:hAnsi="Times New Roman" w:cs="Times New Roman"/>
          <w:bCs/>
          <w:sz w:val="24"/>
          <w:szCs w:val="24"/>
        </w:rPr>
        <w:t xml:space="preserve">159 912     </w:t>
      </w:r>
      <w:r w:rsidRPr="00173DC3">
        <w:rPr>
          <w:rFonts w:ascii="Times New Roman" w:hAnsi="Times New Roman" w:cs="Times New Roman"/>
          <w:bCs/>
          <w:sz w:val="24"/>
          <w:szCs w:val="24"/>
        </w:rPr>
        <w:t>milionë lekë</w:t>
      </w:r>
      <w:r w:rsidR="00402EF9" w:rsidRPr="00173DC3">
        <w:rPr>
          <w:rFonts w:ascii="Times New Roman" w:hAnsi="Times New Roman" w:cs="Times New Roman"/>
          <w:bCs/>
          <w:sz w:val="24"/>
          <w:szCs w:val="24"/>
        </w:rPr>
        <w:t>.</w:t>
      </w:r>
      <w:r w:rsidRPr="00173DC3">
        <w:rPr>
          <w:rFonts w:ascii="Times New Roman" w:hAnsi="Times New Roman" w:cs="Times New Roman"/>
          <w:bCs/>
          <w:sz w:val="24"/>
          <w:szCs w:val="24"/>
        </w:rPr>
        <w:t xml:space="preserve"> </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të kategorive të veçanta të personave të vetëpunësuar. Për vitin 2022 teprica ndërmjet të ardhurave dhe shpenzimeve, sipas degëve dhe programeve të sigurimit shoqëror të detyrueshëm e suplementar, përdoret për mbulimin e deficitit të degës së pensioneve.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2. Sigurimi suplementar.</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gjithsej</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7 403</w:t>
      </w:r>
      <w:r w:rsidRPr="00173DC3">
        <w:rPr>
          <w:rFonts w:ascii="Times New Roman" w:hAnsi="Times New Roman" w:cs="Times New Roman"/>
          <w:bCs/>
          <w:sz w:val="24"/>
          <w:szCs w:val="24"/>
        </w:rPr>
        <w:tab/>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nga të cilat: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kontributet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2 190</w:t>
      </w:r>
      <w:r w:rsidRPr="00173DC3">
        <w:rPr>
          <w:rFonts w:ascii="Times New Roman" w:hAnsi="Times New Roman" w:cs="Times New Roman"/>
          <w:bCs/>
          <w:sz w:val="24"/>
          <w:szCs w:val="24"/>
        </w:rPr>
        <w:tab/>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transferimet nga buxheti i shtetit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5 113</w:t>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transferta për indeksimin e pensioneve</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100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7 403</w:t>
      </w:r>
      <w:r w:rsidRPr="00173DC3">
        <w:rPr>
          <w:rFonts w:ascii="Times New Roman" w:hAnsi="Times New Roman" w:cs="Times New Roman"/>
          <w:bCs/>
          <w:sz w:val="24"/>
          <w:szCs w:val="24"/>
        </w:rPr>
        <w:tab/>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për indeksimin e pensioneve është</w:t>
      </w:r>
      <w:r w:rsidRPr="00173DC3">
        <w:rPr>
          <w:rFonts w:ascii="Times New Roman" w:hAnsi="Times New Roman" w:cs="Times New Roman"/>
          <w:bCs/>
          <w:sz w:val="24"/>
          <w:szCs w:val="24"/>
        </w:rPr>
        <w:tab/>
        <w:t xml:space="preserve">parashikuar  </w:t>
      </w:r>
      <w:r w:rsidR="00DE40B9" w:rsidRPr="00173DC3">
        <w:rPr>
          <w:rFonts w:ascii="Times New Roman" w:hAnsi="Times New Roman" w:cs="Times New Roman"/>
          <w:bCs/>
          <w:sz w:val="24"/>
          <w:szCs w:val="24"/>
        </w:rPr>
        <w:t xml:space="preserve">2 200 </w:t>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Përdorimi i këtij fondi bëhet sipas përcaktimeve në nenin 61 të ligjit nr. 7703, datë 11.5.1993, “Për sigurimet shoqërore në Republikën e Shqipërisë”, tё ndryshuar. Shpenzimet administrative, si pj</w:t>
      </w:r>
      <w:r w:rsidR="00402EF9" w:rsidRPr="00173DC3">
        <w:rPr>
          <w:rFonts w:ascii="Times New Roman" w:hAnsi="Times New Roman" w:cs="Times New Roman"/>
          <w:bCs/>
          <w:sz w:val="24"/>
          <w:szCs w:val="24"/>
        </w:rPr>
        <w:t xml:space="preserve">esë e shpenzimeve totale për </w:t>
      </w:r>
      <w:r w:rsidRPr="00173DC3">
        <w:rPr>
          <w:rFonts w:ascii="Times New Roman" w:hAnsi="Times New Roman" w:cs="Times New Roman"/>
          <w:bCs/>
          <w:sz w:val="24"/>
          <w:szCs w:val="24"/>
        </w:rPr>
        <w:t>skemën e sigurimeve shoqërore, janë jo më shumë se 3 450 milionë lekë dhe ndahen sipas skemave në proporcion me shpenzimet e drejtpërdrejta.</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5</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Buxheti i sigurimeve shëndetësore për vitin 2023 është: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gjithsej</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54 536</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nga të cilat: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kontributet dhe të tjera</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17 077</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transferimet nga buxh</w:t>
      </w:r>
      <w:r w:rsidR="00A95D0A" w:rsidRPr="00173DC3">
        <w:rPr>
          <w:rFonts w:ascii="Times New Roman" w:hAnsi="Times New Roman" w:cs="Times New Roman"/>
          <w:bCs/>
          <w:sz w:val="24"/>
          <w:szCs w:val="24"/>
        </w:rPr>
        <w:t>eti i shtetit</w:t>
      </w:r>
      <w:r w:rsidR="00A95D0A" w:rsidRPr="00173DC3">
        <w:rPr>
          <w:rFonts w:ascii="Times New Roman" w:hAnsi="Times New Roman" w:cs="Times New Roman"/>
          <w:bCs/>
          <w:sz w:val="24"/>
          <w:szCs w:val="24"/>
        </w:rPr>
        <w:tab/>
      </w:r>
      <w:r w:rsidR="00A95D0A" w:rsidRPr="00173DC3">
        <w:rPr>
          <w:rFonts w:ascii="Times New Roman" w:hAnsi="Times New Roman" w:cs="Times New Roman"/>
          <w:bCs/>
          <w:sz w:val="24"/>
          <w:szCs w:val="24"/>
        </w:rPr>
        <w:tab/>
      </w:r>
      <w:r w:rsidR="00A95D0A" w:rsidRPr="00173DC3">
        <w:rPr>
          <w:rFonts w:ascii="Times New Roman" w:hAnsi="Times New Roman" w:cs="Times New Roman"/>
          <w:bCs/>
          <w:sz w:val="24"/>
          <w:szCs w:val="24"/>
        </w:rPr>
        <w:tab/>
      </w:r>
      <w:r w:rsidR="00A95D0A" w:rsidRPr="00173DC3">
        <w:rPr>
          <w:rFonts w:ascii="Times New Roman" w:hAnsi="Times New Roman" w:cs="Times New Roman"/>
          <w:bCs/>
          <w:sz w:val="24"/>
          <w:szCs w:val="24"/>
        </w:rPr>
        <w:tab/>
        <w:t>37 459</w:t>
      </w:r>
      <w:r w:rsidR="00A95D0A" w:rsidRPr="00173DC3">
        <w:rPr>
          <w:rFonts w:ascii="Times New Roman" w:hAnsi="Times New Roman" w:cs="Times New Roman"/>
          <w:bCs/>
          <w:sz w:val="24"/>
          <w:szCs w:val="24"/>
        </w:rPr>
        <w:tab/>
      </w:r>
      <w:r w:rsidR="00A95D0A"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milionë lekë;</w:t>
      </w:r>
    </w:p>
    <w:p w:rsidR="005133A5" w:rsidRPr="00173DC3" w:rsidRDefault="00A95D0A"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54 536</w:t>
      </w:r>
      <w:r w:rsidRPr="00173DC3">
        <w:rPr>
          <w:rFonts w:ascii="Times New Roman" w:hAnsi="Times New Roman" w:cs="Times New Roman"/>
          <w:bCs/>
          <w:sz w:val="24"/>
          <w:szCs w:val="24"/>
        </w:rPr>
        <w:tab/>
        <w:t xml:space="preserve">      </w:t>
      </w:r>
      <w:r w:rsidR="005133A5" w:rsidRPr="00173DC3">
        <w:rPr>
          <w:rFonts w:ascii="Times New Roman" w:hAnsi="Times New Roman" w:cs="Times New Roman"/>
          <w:bCs/>
          <w:sz w:val="24"/>
          <w:szCs w:val="24"/>
        </w:rPr>
        <w:t xml:space="preserve">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Fondi pёr rimbursimin e medikamenteve nuk </w:t>
      </w:r>
      <w:r w:rsidR="00E95EFD" w:rsidRPr="00173DC3">
        <w:rPr>
          <w:rFonts w:ascii="Times New Roman" w:hAnsi="Times New Roman" w:cs="Times New Roman"/>
          <w:bCs/>
          <w:sz w:val="24"/>
          <w:szCs w:val="24"/>
        </w:rPr>
        <w:t xml:space="preserve">e </w:t>
      </w:r>
      <w:r w:rsidRPr="00173DC3">
        <w:rPr>
          <w:rFonts w:ascii="Times New Roman" w:hAnsi="Times New Roman" w:cs="Times New Roman"/>
          <w:bCs/>
          <w:sz w:val="24"/>
          <w:szCs w:val="24"/>
        </w:rPr>
        <w:t xml:space="preserve">tejkalon tavanin prej 11 400 milionë lekësh. Fondi për shërbimin spitalor </w:t>
      </w:r>
      <w:r w:rsidRPr="00173DC3">
        <w:rPr>
          <w:rFonts w:ascii="Times New Roman" w:hAnsi="Times New Roman" w:cs="Times New Roman"/>
          <w:bCs/>
          <w:color w:val="000000" w:themeColor="text1"/>
          <w:sz w:val="24"/>
          <w:szCs w:val="24"/>
        </w:rPr>
        <w:t xml:space="preserve">detajohet dhe përdoret </w:t>
      </w:r>
      <w:r w:rsidRPr="00173DC3">
        <w:rPr>
          <w:rFonts w:ascii="Times New Roman" w:hAnsi="Times New Roman" w:cs="Times New Roman"/>
          <w:bCs/>
          <w:sz w:val="24"/>
          <w:szCs w:val="24"/>
        </w:rPr>
        <w:t>me vendim të Këshillit të Ministrave.</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6</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Buxheti i fondit për kompensimin në vlerë </w:t>
      </w:r>
      <w:r w:rsidR="003F7879" w:rsidRPr="00173DC3">
        <w:rPr>
          <w:rFonts w:ascii="Times New Roman" w:hAnsi="Times New Roman" w:cs="Times New Roman"/>
          <w:bCs/>
          <w:sz w:val="24"/>
          <w:szCs w:val="24"/>
        </w:rPr>
        <w:t xml:space="preserve">të </w:t>
      </w:r>
      <w:r w:rsidR="003F7879" w:rsidRPr="00173DC3">
        <w:rPr>
          <w:rFonts w:ascii="Times New Roman" w:hAnsi="Times New Roman" w:cs="Times New Roman"/>
          <w:bCs/>
          <w:color w:val="FF0000"/>
          <w:sz w:val="24"/>
          <w:szCs w:val="24"/>
        </w:rPr>
        <w:t>ish-</w:t>
      </w:r>
      <w:r w:rsidRPr="00173DC3">
        <w:rPr>
          <w:rFonts w:ascii="Times New Roman" w:hAnsi="Times New Roman" w:cs="Times New Roman"/>
          <w:bCs/>
          <w:color w:val="FF0000"/>
          <w:sz w:val="24"/>
          <w:szCs w:val="24"/>
        </w:rPr>
        <w:t xml:space="preserve">pronarëve </w:t>
      </w:r>
      <w:r w:rsidRPr="00173DC3">
        <w:rPr>
          <w:rFonts w:ascii="Times New Roman" w:hAnsi="Times New Roman" w:cs="Times New Roman"/>
          <w:bCs/>
          <w:sz w:val="24"/>
          <w:szCs w:val="24"/>
        </w:rPr>
        <w:t xml:space="preserve">për vitin 2023 është: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gjithsej</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4 500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nga të cilat:</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të ardhura të tjera</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1 000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 transferimet nga buxheti i </w:t>
      </w:r>
      <w:r w:rsidR="00710307" w:rsidRPr="00173DC3">
        <w:rPr>
          <w:rFonts w:ascii="Times New Roman" w:hAnsi="Times New Roman" w:cs="Times New Roman"/>
          <w:bCs/>
          <w:sz w:val="24"/>
          <w:szCs w:val="24"/>
        </w:rPr>
        <w:t>shtetit</w:t>
      </w:r>
      <w:r w:rsidR="00710307" w:rsidRPr="00173DC3">
        <w:rPr>
          <w:rFonts w:ascii="Times New Roman" w:hAnsi="Times New Roman" w:cs="Times New Roman"/>
          <w:bCs/>
          <w:sz w:val="24"/>
          <w:szCs w:val="24"/>
        </w:rPr>
        <w:tab/>
      </w:r>
      <w:r w:rsidR="00710307" w:rsidRPr="00173DC3">
        <w:rPr>
          <w:rFonts w:ascii="Times New Roman" w:hAnsi="Times New Roman" w:cs="Times New Roman"/>
          <w:bCs/>
          <w:sz w:val="24"/>
          <w:szCs w:val="24"/>
        </w:rPr>
        <w:tab/>
      </w:r>
      <w:r w:rsidR="00710307" w:rsidRPr="00173DC3">
        <w:rPr>
          <w:rFonts w:ascii="Times New Roman" w:hAnsi="Times New Roman" w:cs="Times New Roman"/>
          <w:bCs/>
          <w:sz w:val="24"/>
          <w:szCs w:val="24"/>
        </w:rPr>
        <w:tab/>
      </w:r>
      <w:r w:rsidR="00710307" w:rsidRPr="00173DC3">
        <w:rPr>
          <w:rFonts w:ascii="Times New Roman" w:hAnsi="Times New Roman" w:cs="Times New Roman"/>
          <w:bCs/>
          <w:sz w:val="24"/>
          <w:szCs w:val="24"/>
        </w:rPr>
        <w:tab/>
      </w:r>
      <w:r w:rsidR="00710307" w:rsidRPr="00173DC3">
        <w:rPr>
          <w:rFonts w:ascii="Times New Roman" w:hAnsi="Times New Roman" w:cs="Times New Roman"/>
          <w:bCs/>
          <w:sz w:val="24"/>
          <w:szCs w:val="24"/>
        </w:rPr>
        <w:tab/>
      </w:r>
      <w:r w:rsidR="00710307" w:rsidRPr="00173DC3">
        <w:rPr>
          <w:rFonts w:ascii="Times New Roman" w:hAnsi="Times New Roman" w:cs="Times New Roman"/>
          <w:bCs/>
          <w:sz w:val="24"/>
          <w:szCs w:val="24"/>
        </w:rPr>
        <w:tab/>
        <w:t>3 500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Shpenzimet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4 500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7</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i rindërtimit për përballimin e pasojave të tërmetit të vitit 2019 prej 5 000 milionë lekësh përdoret për të përballuar kostot për projektet e miratuara dhe të pafinancuara të viteve të mëparshme dhe pjesa e mbetur për projekte të reja.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Ky fond shton kufijtë e shpenzimeve për çdo ministri dhe institucion në nivel programi dhe kufijtë e transfertës së pakushtëzuar, të miratuar në tabelat 1 dhe 3, </w:t>
      </w:r>
      <w:r w:rsidRPr="00173DC3">
        <w:rPr>
          <w:rFonts w:ascii="Times New Roman" w:hAnsi="Times New Roman" w:cs="Times New Roman"/>
          <w:bCs/>
          <w:color w:val="000000" w:themeColor="text1"/>
          <w:sz w:val="24"/>
          <w:szCs w:val="24"/>
        </w:rPr>
        <w:t xml:space="preserve">të përmendura </w:t>
      </w:r>
      <w:r w:rsidRPr="00173DC3">
        <w:rPr>
          <w:rFonts w:ascii="Times New Roman" w:hAnsi="Times New Roman" w:cs="Times New Roman"/>
          <w:bCs/>
          <w:sz w:val="24"/>
          <w:szCs w:val="24"/>
        </w:rPr>
        <w:t>në nenet 11 e 15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Çdo e ardhur në formë granti, me destinacion përballimin e pasojave të tërmetit,  rrit në të njëjtën masë të ardhurat dhe shpenzimet e fondit të rindërtimit, duke shtuar kufijtë e përcaktuar në nenet 1, 2, 3 e 11, si dhe kufijtë e miratuar në tabelat  1, 3 dhe 4, </w:t>
      </w:r>
      <w:r w:rsidRPr="00173DC3">
        <w:rPr>
          <w:rFonts w:ascii="Times New Roman" w:hAnsi="Times New Roman" w:cs="Times New Roman"/>
          <w:bCs/>
          <w:color w:val="000000" w:themeColor="text1"/>
          <w:sz w:val="24"/>
          <w:szCs w:val="24"/>
        </w:rPr>
        <w:t xml:space="preserve">të përmendura </w:t>
      </w:r>
      <w:r w:rsidRPr="00173DC3">
        <w:rPr>
          <w:rFonts w:ascii="Times New Roman" w:hAnsi="Times New Roman" w:cs="Times New Roman"/>
          <w:bCs/>
          <w:sz w:val="24"/>
          <w:szCs w:val="24"/>
        </w:rPr>
        <w:t>në nenet 11 e 15 të këtij ligji.</w:t>
      </w:r>
      <w:r w:rsidR="00115FEE" w:rsidRPr="00173DC3">
        <w:rPr>
          <w:rFonts w:ascii="Times New Roman" w:hAnsi="Times New Roman" w:cs="Times New Roman"/>
          <w:bCs/>
          <w:sz w:val="24"/>
          <w:szCs w:val="24"/>
        </w:rPr>
        <w:t xml:space="preserve"> </w:t>
      </w:r>
      <w:r w:rsidR="00115FEE" w:rsidRPr="00173DC3">
        <w:rPr>
          <w:rFonts w:ascii="Times New Roman" w:hAnsi="Times New Roman" w:cs="Times New Roman"/>
          <w:bCs/>
          <w:sz w:val="24"/>
          <w:szCs w:val="24"/>
          <w:shd w:val="clear" w:color="auto" w:fill="A8D08D" w:themeFill="accent6" w:themeFillTint="99"/>
        </w:rPr>
        <w:t>Fondet që rishpërndahen nga programet sipas tabel</w:t>
      </w:r>
      <w:r w:rsidR="00474722" w:rsidRPr="00173DC3">
        <w:rPr>
          <w:rFonts w:ascii="Times New Roman" w:hAnsi="Times New Roman" w:cs="Times New Roman"/>
          <w:bCs/>
          <w:sz w:val="24"/>
          <w:szCs w:val="24"/>
          <w:shd w:val="clear" w:color="auto" w:fill="A8D08D" w:themeFill="accent6" w:themeFillTint="99"/>
        </w:rPr>
        <w:t>ë</w:t>
      </w:r>
      <w:r w:rsidR="00115FEE" w:rsidRPr="00173DC3">
        <w:rPr>
          <w:rFonts w:ascii="Times New Roman" w:hAnsi="Times New Roman" w:cs="Times New Roman"/>
          <w:bCs/>
          <w:sz w:val="24"/>
          <w:szCs w:val="24"/>
          <w:shd w:val="clear" w:color="auto" w:fill="A8D08D" w:themeFill="accent6" w:themeFillTint="99"/>
        </w:rPr>
        <w:t>s 1, që përmendet në këtë ligj, në Fondin e Rindërtimit, nuk i nënshtrohen kufijve të p</w:t>
      </w:r>
      <w:r w:rsidR="00474722" w:rsidRPr="00173DC3">
        <w:rPr>
          <w:rFonts w:ascii="Times New Roman" w:hAnsi="Times New Roman" w:cs="Times New Roman"/>
          <w:bCs/>
          <w:sz w:val="24"/>
          <w:szCs w:val="24"/>
          <w:shd w:val="clear" w:color="auto" w:fill="A8D08D" w:themeFill="accent6" w:themeFillTint="99"/>
        </w:rPr>
        <w:t>ë</w:t>
      </w:r>
      <w:r w:rsidR="00115FEE" w:rsidRPr="00173DC3">
        <w:rPr>
          <w:rFonts w:ascii="Times New Roman" w:hAnsi="Times New Roman" w:cs="Times New Roman"/>
          <w:bCs/>
          <w:sz w:val="24"/>
          <w:szCs w:val="24"/>
          <w:shd w:val="clear" w:color="auto" w:fill="A8D08D" w:themeFill="accent6" w:themeFillTint="99"/>
        </w:rPr>
        <w:t>rcaktuar në nenin 17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8</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Përdorimi dhe investimi i fondit rezervë të sigurimeve shoqërore dhe shëndetësore bëhet sipas dispozitave ligjore në fuqi.</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KREU II</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BURIMET PËR MBËSHTETJEN E SHPENZIMEVE TË BUXHETIT TË SHTETIT</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9</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e buxhetit të shtetit sipas grupeve kryesore janë: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Grantet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ab/>
        <w:t xml:space="preserve"> </w:t>
      </w:r>
      <w:r w:rsidR="00F0214D" w:rsidRPr="00173DC3">
        <w:rPr>
          <w:rFonts w:ascii="Times New Roman" w:hAnsi="Times New Roman" w:cs="Times New Roman"/>
          <w:bCs/>
          <w:sz w:val="24"/>
          <w:szCs w:val="24"/>
        </w:rPr>
        <w:t xml:space="preserve"> </w:t>
      </w:r>
      <w:r w:rsidR="00DE40B9" w:rsidRPr="00173DC3">
        <w:rPr>
          <w:rFonts w:ascii="Times New Roman" w:hAnsi="Times New Roman" w:cs="Times New Roman"/>
          <w:bCs/>
          <w:sz w:val="24"/>
          <w:szCs w:val="24"/>
        </w:rPr>
        <w:t>30 558</w:t>
      </w:r>
      <w:r w:rsidRPr="00173DC3">
        <w:rPr>
          <w:rFonts w:ascii="Times New Roman" w:hAnsi="Times New Roman" w:cs="Times New Roman"/>
          <w:bCs/>
          <w:sz w:val="24"/>
          <w:szCs w:val="24"/>
        </w:rPr>
        <w:tab/>
        <w:t xml:space="preserve">   </w:t>
      </w:r>
      <w:r w:rsidR="00F0214D" w:rsidRPr="00173DC3">
        <w:rPr>
          <w:rFonts w:ascii="Times New Roman" w:hAnsi="Times New Roman" w:cs="Times New Roman"/>
          <w:bCs/>
          <w:sz w:val="24"/>
          <w:szCs w:val="24"/>
        </w:rPr>
        <w:tab/>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tatimore</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431 200</w:t>
      </w:r>
      <w:r w:rsidRPr="00173DC3">
        <w:rPr>
          <w:rFonts w:ascii="Times New Roman" w:hAnsi="Times New Roman" w:cs="Times New Roman"/>
          <w:bCs/>
          <w:sz w:val="24"/>
          <w:szCs w:val="24"/>
        </w:rPr>
        <w:tab/>
        <w:t xml:space="preserve"> </w:t>
      </w:r>
      <w:r w:rsidR="00F0214D" w:rsidRPr="00173DC3">
        <w:rPr>
          <w:rFonts w:ascii="Times New Roman" w:hAnsi="Times New Roman" w:cs="Times New Roman"/>
          <w:bCs/>
          <w:sz w:val="24"/>
          <w:szCs w:val="24"/>
        </w:rPr>
        <w:tab/>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jotatimore</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F0214D" w:rsidRPr="00173DC3">
        <w:rPr>
          <w:rFonts w:ascii="Times New Roman" w:hAnsi="Times New Roman" w:cs="Times New Roman"/>
          <w:bCs/>
          <w:sz w:val="24"/>
          <w:szCs w:val="24"/>
        </w:rPr>
        <w:t xml:space="preserve"> </w:t>
      </w:r>
      <w:r w:rsidR="00DE40B9" w:rsidRPr="00173DC3">
        <w:rPr>
          <w:rFonts w:ascii="Times New Roman" w:hAnsi="Times New Roman" w:cs="Times New Roman"/>
          <w:bCs/>
          <w:sz w:val="24"/>
          <w:szCs w:val="24"/>
        </w:rPr>
        <w:t>23 608</w:t>
      </w:r>
      <w:r w:rsidR="00F0214D" w:rsidRPr="00173DC3">
        <w:rPr>
          <w:rFonts w:ascii="Times New Roman" w:hAnsi="Times New Roman" w:cs="Times New Roman"/>
          <w:bCs/>
          <w:sz w:val="24"/>
          <w:szCs w:val="24"/>
        </w:rPr>
        <w:tab/>
      </w:r>
      <w:r w:rsidR="00F0214D" w:rsidRPr="00173DC3">
        <w:rPr>
          <w:rFonts w:ascii="Times New Roman" w:hAnsi="Times New Roman" w:cs="Times New Roman"/>
          <w:bCs/>
          <w:sz w:val="24"/>
          <w:szCs w:val="24"/>
        </w:rPr>
        <w:tab/>
      </w:r>
      <w:r w:rsidRPr="00173DC3">
        <w:rPr>
          <w:rFonts w:ascii="Times New Roman" w:hAnsi="Times New Roman" w:cs="Times New Roman"/>
          <w:bCs/>
          <w:sz w:val="24"/>
          <w:szCs w:val="24"/>
        </w:rPr>
        <w:t>milionë lekë.</w:t>
      </w:r>
    </w:p>
    <w:p w:rsidR="005133A5" w:rsidRPr="00173DC3" w:rsidRDefault="005133A5" w:rsidP="005133A5">
      <w:pPr>
        <w:spacing w:after="0" w:line="240" w:lineRule="auto"/>
        <w:jc w:val="both"/>
        <w:rPr>
          <w:rFonts w:ascii="Times New Roman" w:hAnsi="Times New Roman" w:cs="Times New Roman"/>
          <w:bCs/>
          <w:sz w:val="24"/>
          <w:szCs w:val="24"/>
        </w:rPr>
      </w:pPr>
    </w:p>
    <w:p w:rsidR="005133A5" w:rsidRPr="00173DC3" w:rsidRDefault="005133A5" w:rsidP="005133A5">
      <w:pPr>
        <w:spacing w:after="0" w:line="240" w:lineRule="auto"/>
        <w:ind w:firstLine="432"/>
        <w:jc w:val="center"/>
        <w:rPr>
          <w:rFonts w:ascii="Times New Roman" w:hAnsi="Times New Roman" w:cs="Times New Roman"/>
          <w:bCs/>
          <w:sz w:val="24"/>
          <w:szCs w:val="24"/>
        </w:rPr>
      </w:pPr>
      <w:r w:rsidRPr="00173DC3">
        <w:rPr>
          <w:rFonts w:ascii="Times New Roman" w:hAnsi="Times New Roman" w:cs="Times New Roman"/>
          <w:bCs/>
          <w:sz w:val="24"/>
          <w:szCs w:val="24"/>
        </w:rPr>
        <w:t>Neni 10</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Deficiti faktik i buxhetit të shtetit, i cili nuk duhet të rezultojë më tepër se deficiti i përcaktuar në nenin 1 të këtij ligji, mund të financohet nëpërmjet huamarrjes neto nga burime të brendshme deri në kufirin maksimal prej 25 000 milionë lekësh.</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Pjesa tjetër e financimit të deficitit faktik të buxhetit të shtetit financohet nëpërmjet huamarrjes neto nga burime të huaja, si dhe ndryshimit pakësues ose shtues të gjendjes së llogarisë unike të Këshillit të Ministrave në Bankën e Shqipërisë dhe llogarive të fondeve speciale në bankat e nivelit të dytë.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Vlera indikative e financimit nëpërmjet huamarrjes neto nga burime të huaja është rreth 25 353 milionë lekë, ku përfshihen huamarrjet dhe ripagesat me vlera të përafërta indikative si më poshtë: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huamarrje afatgjatë të destinuara për projekte me vlerë rreth 33 660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 emetimi i një </w:t>
      </w:r>
      <w:r w:rsidR="00251A1C" w:rsidRPr="00173DC3">
        <w:rPr>
          <w:rFonts w:ascii="Times New Roman" w:hAnsi="Times New Roman" w:cs="Times New Roman"/>
          <w:bCs/>
          <w:sz w:val="24"/>
          <w:szCs w:val="24"/>
        </w:rPr>
        <w:t>e</w:t>
      </w:r>
      <w:r w:rsidRPr="00173DC3">
        <w:rPr>
          <w:rFonts w:ascii="Times New Roman" w:hAnsi="Times New Roman" w:cs="Times New Roman"/>
          <w:bCs/>
          <w:sz w:val="24"/>
          <w:szCs w:val="24"/>
        </w:rPr>
        <w:t>urobondi me vlerë orientuese prej rreth 59 335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huamarrje në formën “mbështetje buxhetore” nga institucione financiare ndërkombëtare me vlerë rreth 11 867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ripagesa të principalit me vlerë rreth (minus) 80 310 milionë lekë</w:t>
      </w:r>
      <w:r w:rsidR="003F0FA3" w:rsidRPr="00173DC3">
        <w:rPr>
          <w:rFonts w:ascii="Times New Roman" w:hAnsi="Times New Roman" w:cs="Times New Roman"/>
          <w:bCs/>
          <w:sz w:val="24"/>
          <w:szCs w:val="24"/>
        </w:rPr>
        <w:t>,</w:t>
      </w:r>
      <w:r w:rsidRPr="00173DC3">
        <w:rPr>
          <w:rFonts w:ascii="Times New Roman" w:hAnsi="Times New Roman" w:cs="Times New Roman"/>
          <w:bCs/>
          <w:sz w:val="24"/>
          <w:szCs w:val="24"/>
        </w:rPr>
        <w:t xml:space="preserve"> të cilat përfshijnë edhe një parablerje të mundshme, të </w:t>
      </w:r>
      <w:r w:rsidR="00251A1C" w:rsidRPr="00173DC3">
        <w:rPr>
          <w:rFonts w:ascii="Times New Roman" w:hAnsi="Times New Roman" w:cs="Times New Roman"/>
          <w:bCs/>
          <w:sz w:val="24"/>
          <w:szCs w:val="24"/>
        </w:rPr>
        <w:t>pjesshme, të e</w:t>
      </w:r>
      <w:r w:rsidRPr="00173DC3">
        <w:rPr>
          <w:rFonts w:ascii="Times New Roman" w:hAnsi="Times New Roman" w:cs="Times New Roman"/>
          <w:bCs/>
          <w:sz w:val="24"/>
          <w:szCs w:val="24"/>
        </w:rPr>
        <w:t>urobondit ekzistues që maturohet në vitin 2025, për një vlerë orientuese pr</w:t>
      </w:r>
      <w:r w:rsidR="003F0FA3" w:rsidRPr="00173DC3">
        <w:rPr>
          <w:rFonts w:ascii="Times New Roman" w:hAnsi="Times New Roman" w:cs="Times New Roman"/>
          <w:bCs/>
          <w:sz w:val="24"/>
          <w:szCs w:val="24"/>
        </w:rPr>
        <w:t>ej rreth (minus) 29 668 milion</w:t>
      </w:r>
      <w:r w:rsidR="00251A1C" w:rsidRPr="00173DC3">
        <w:rPr>
          <w:rFonts w:ascii="Times New Roman" w:hAnsi="Times New Roman" w:cs="Times New Roman"/>
          <w:bCs/>
          <w:sz w:val="24"/>
          <w:szCs w:val="24"/>
        </w:rPr>
        <w:t>ë</w:t>
      </w:r>
      <w:r w:rsidR="003F0FA3" w:rsidRPr="00173DC3">
        <w:rPr>
          <w:rFonts w:ascii="Times New Roman" w:hAnsi="Times New Roman" w:cs="Times New Roman"/>
          <w:bCs/>
          <w:sz w:val="24"/>
          <w:szCs w:val="24"/>
        </w:rPr>
        <w:t xml:space="preserve"> l</w:t>
      </w:r>
      <w:r w:rsidRPr="00173DC3">
        <w:rPr>
          <w:rFonts w:ascii="Times New Roman" w:hAnsi="Times New Roman" w:cs="Times New Roman"/>
          <w:bCs/>
          <w:sz w:val="24"/>
          <w:szCs w:val="24"/>
        </w:rPr>
        <w:t>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nënhua për pushtetin vendor me vlerë rreth 800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Vlera indikative e financimit nëpërmjet përdorimit të gjendjes së akumuluar në llogarinë unike të Këshillit të Ministrave në B</w:t>
      </w:r>
      <w:r w:rsidR="00251A1C" w:rsidRPr="00173DC3">
        <w:rPr>
          <w:rFonts w:ascii="Times New Roman" w:hAnsi="Times New Roman" w:cs="Times New Roman"/>
          <w:bCs/>
          <w:sz w:val="24"/>
          <w:szCs w:val="24"/>
        </w:rPr>
        <w:t xml:space="preserve">ankën e Shqipërisë është rreth </w:t>
      </w:r>
      <w:r w:rsidRPr="00173DC3">
        <w:rPr>
          <w:rFonts w:ascii="Times New Roman" w:hAnsi="Times New Roman" w:cs="Times New Roman"/>
          <w:bCs/>
          <w:sz w:val="24"/>
          <w:szCs w:val="24"/>
        </w:rPr>
        <w:t>(minus) 854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lastRenderedPageBreak/>
        <w:t>Vlera indikative e financimit nëpërmjet përdorimit të gjendjes së akumuluar në llogaritë e fondeve speciale në bankat e nivelit të dytë është rreth 6 000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nga privatizimi, që mund të krijohen gjatë vitit 2023,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 të përcaktuar në nenet 1 dhe 2 të këtij ligji.</w:t>
      </w:r>
    </w:p>
    <w:p w:rsidR="005133A5" w:rsidRPr="00173DC3" w:rsidRDefault="005133A5" w:rsidP="005133A5">
      <w:pPr>
        <w:spacing w:after="0" w:line="240" w:lineRule="auto"/>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KREU III</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SHPENZIMET E BUXHETIT TË SHTETIT</w:t>
      </w:r>
    </w:p>
    <w:p w:rsidR="005133A5" w:rsidRPr="00173DC3" w:rsidRDefault="005133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11</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Shpenzimet e buxhetit të shtetit sipas grupeve kryesore janë: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shpenzime të buxhetit qendror</w:t>
      </w:r>
      <w:r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00DE40B9" w:rsidRPr="00173DC3">
        <w:rPr>
          <w:rFonts w:ascii="Times New Roman" w:hAnsi="Times New Roman" w:cs="Times New Roman"/>
          <w:bCs/>
          <w:sz w:val="24"/>
          <w:szCs w:val="24"/>
        </w:rPr>
        <w:t>520 464</w:t>
      </w:r>
      <w:r w:rsidRPr="00173DC3">
        <w:rPr>
          <w:rFonts w:ascii="Times New Roman" w:hAnsi="Times New Roman" w:cs="Times New Roman"/>
          <w:bCs/>
          <w:sz w:val="24"/>
          <w:szCs w:val="24"/>
        </w:rPr>
        <w:tab/>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 xml:space="preserve">fondi rezervë i buxhetit dhe kontigjenca       </w:t>
      </w:r>
      <w:r w:rsidRPr="00173DC3">
        <w:rPr>
          <w:rFonts w:ascii="Times New Roman" w:hAnsi="Times New Roman" w:cs="Times New Roman"/>
          <w:bCs/>
          <w:sz w:val="24"/>
          <w:szCs w:val="24"/>
        </w:rPr>
        <w:tab/>
        <w:t xml:space="preserve"> </w:t>
      </w:r>
      <w:r w:rsidR="00DE40B9" w:rsidRPr="00173DC3">
        <w:rPr>
          <w:rFonts w:ascii="Times New Roman" w:hAnsi="Times New Roman" w:cs="Times New Roman"/>
          <w:bCs/>
          <w:sz w:val="24"/>
          <w:szCs w:val="24"/>
        </w:rPr>
        <w:t>15 500</w:t>
      </w:r>
      <w:r w:rsidR="00DE40B9" w:rsidRPr="00173DC3">
        <w:rPr>
          <w:rFonts w:ascii="Times New Roman" w:hAnsi="Times New Roman" w:cs="Times New Roman"/>
          <w:bCs/>
          <w:sz w:val="24"/>
          <w:szCs w:val="24"/>
        </w:rPr>
        <w:tab/>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kontingjencë për risqet e borxhit</w:t>
      </w:r>
      <w:r w:rsidRPr="00173DC3">
        <w:rPr>
          <w:rFonts w:ascii="Times New Roman" w:hAnsi="Times New Roman" w:cs="Times New Roman"/>
          <w:bCs/>
          <w:sz w:val="24"/>
          <w:szCs w:val="24"/>
        </w:rPr>
        <w:tab/>
      </w:r>
      <w:r w:rsidRPr="00173DC3">
        <w:rPr>
          <w:rFonts w:ascii="Times New Roman" w:hAnsi="Times New Roman" w:cs="Times New Roman"/>
          <w:bCs/>
          <w:sz w:val="24"/>
          <w:szCs w:val="24"/>
        </w:rPr>
        <w:tab/>
      </w:r>
      <w:r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ab/>
        <w:t xml:space="preserve">  </w:t>
      </w:r>
      <w:r w:rsidR="003F0FA3" w:rsidRPr="00173DC3">
        <w:rPr>
          <w:rFonts w:ascii="Times New Roman" w:hAnsi="Times New Roman" w:cs="Times New Roman"/>
          <w:bCs/>
          <w:sz w:val="24"/>
          <w:szCs w:val="24"/>
        </w:rPr>
        <w:t xml:space="preserve"> 4 900</w:t>
      </w:r>
      <w:r w:rsidR="003F0FA3" w:rsidRPr="00173DC3">
        <w:rPr>
          <w:rFonts w:ascii="Times New Roman" w:hAnsi="Times New Roman" w:cs="Times New Roman"/>
          <w:bCs/>
          <w:sz w:val="24"/>
          <w:szCs w:val="24"/>
        </w:rPr>
        <w:tab/>
      </w:r>
      <w:r w:rsidRPr="00173DC3">
        <w:rPr>
          <w:rFonts w:ascii="Times New Roman" w:hAnsi="Times New Roman" w:cs="Times New Roman"/>
          <w:bCs/>
          <w:sz w:val="24"/>
          <w:szCs w:val="24"/>
        </w:rPr>
        <w:t>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Kufiri i shpenzimeve për çdo ministri dhe institucion, në nivel programi, për shpenzime korrente dhe kapitale është sipas tabelës 1 që i bashkëlidhet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Në tabelat 1/1 dhe 1/2 përcaktohen kufijtë e shpenzimeve për çdo ministri dhe institucion, në nivel programi, për shpenzime korrente dhe kapitale, përkatësisht  për vitet </w:t>
      </w:r>
      <w:r w:rsidR="00251A1C"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2024 dhe 2025. Transferta e pakushtëzuar për çdo njësi të vetëqeverisjes vendore miratohet vetëm për vitin 2023.</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Të ardhurat dhe shpenzimet e buxhetit, sipas zërave kryesorë, për dy vitet e mëparshme fiskale dhe tri vitet e ardhshme janë sipas tabelës 4 që i bashkëlidhet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Njësitë e qeverisjes së përgjithshme mund të fillojnë procedurën e p</w:t>
      </w:r>
      <w:r w:rsidR="003F0FA3" w:rsidRPr="00173DC3">
        <w:rPr>
          <w:rFonts w:ascii="Times New Roman" w:hAnsi="Times New Roman" w:cs="Times New Roman"/>
          <w:bCs/>
          <w:sz w:val="24"/>
          <w:szCs w:val="24"/>
        </w:rPr>
        <w:t xml:space="preserve">rokurimit që </w:t>
      </w:r>
      <w:r w:rsidRPr="00173DC3">
        <w:rPr>
          <w:rFonts w:ascii="Times New Roman" w:hAnsi="Times New Roman" w:cs="Times New Roman"/>
          <w:bCs/>
          <w:sz w:val="24"/>
          <w:szCs w:val="24"/>
        </w:rPr>
        <w:t>në muajin nëntor të vitit korrent, nëse fondet janë akorduar/regjistruar në sistemin e thesarit për vitet 2023 dhe 2024, me kushtin që lidhja e kontratës të bëhet efektive vetëm pas hyrjes në fuqi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Kriteret bazë, masa e përfitimit, mënyra e përdorimit të fondit, të përcaktuara në shpenzimet korrente të programit buxhetor “Zhvillimi rural duke mbështetur prodhimin bujqësor, blegtoral, agroindustrial dhe marketingun” në Ministrinë e Bujqësisë dhe Zhvillimit Rural, për skemën e mbështetjes së naftës për bujqësinë miratohen me vendim të Këshillit të Ministrave.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prej 12 000 milionë lekësh për mbështetjen e sektorit energjetik përdoret me vendime të Këshillit të Ministrave, me propozimin e ministrit përgjegjës për energjinë dhe ministrit përgjegjës për financat.</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prej 2 300 milionë lekësh përdoret për politika të reja pagash, sipas përcaktimeve që miratohen me vendim të Këshillit të Ministrave.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Fondi prej </w:t>
      </w:r>
      <w:r w:rsidR="00020EAE" w:rsidRPr="00173DC3">
        <w:rPr>
          <w:rFonts w:ascii="Times New Roman" w:hAnsi="Times New Roman" w:cs="Times New Roman"/>
          <w:bCs/>
          <w:sz w:val="24"/>
          <w:szCs w:val="24"/>
        </w:rPr>
        <w:t>100</w:t>
      </w:r>
      <w:r w:rsidRPr="00173DC3">
        <w:rPr>
          <w:rFonts w:ascii="Times New Roman" w:hAnsi="Times New Roman" w:cs="Times New Roman"/>
          <w:bCs/>
          <w:sz w:val="24"/>
          <w:szCs w:val="24"/>
        </w:rPr>
        <w:t xml:space="preserve"> milionë lekësh, i parashikuar në programin buxhetor “Ekzekutimi i pagesave të ndryshme” në Ministrinë e Financave dhe Ekonomisë, përdoret për parafinancimin, bashkëfinancimin dhe pagesën e tatimit mbi vlerën e shtuar dhe të detyrimeve doganore për projektet me financim të huaj. Procedurat e shpërndarjes së këtij fondi përcaktohen me udhëzim të ministrit përgjegjës për financat. Shumat e shpërndara nga ky fond shtojnë kufijtë e shpenzimeve të përcaktuara në nenin 3, si dhe në tabelat 1 dhe 3, që përmenden respektivisht në nenet 11 dhe 15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12</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lastRenderedPageBreak/>
        <w:t xml:space="preserve">Numri i përgjithshëm i punonjësve në organikë është </w:t>
      </w:r>
      <w:r w:rsidR="00020EAE" w:rsidRPr="00173DC3">
        <w:rPr>
          <w:rFonts w:ascii="Times New Roman" w:hAnsi="Times New Roman" w:cs="Times New Roman"/>
          <w:bCs/>
          <w:sz w:val="24"/>
          <w:szCs w:val="24"/>
        </w:rPr>
        <w:t>84 918</w:t>
      </w:r>
      <w:r w:rsidRPr="00173DC3">
        <w:rPr>
          <w:rFonts w:ascii="Times New Roman" w:hAnsi="Times New Roman" w:cs="Times New Roman"/>
          <w:bCs/>
          <w:sz w:val="24"/>
          <w:szCs w:val="24"/>
        </w:rPr>
        <w:t>. Numri maksimal i punonjësve për çdo ministri dhe institucion qendror, i dhënë në tabelën 2 që i bashkëlidhet këtij ligji dhe është pjesë përbërëse e tij, detajohet nga  ministritë dhe institucionet qendrore në përputhje me strukturat e miratuara për çdo institucion varësie. Këshilli i Ministrave mund të rishpërndajë numrin e punonjësve ndërmjet institucioneve të përmendura në tabelën 2 në rastin e ristrukturimit të institucioneve ekzistuese ose krijimit të institucioneve të reja.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Numri rezervë, i parashikuar në tabelën 2, përdoret me vendim të Këshillit të Ministrave për krijimin e institucioneve/funksioneve të reja.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Këshilli i Ministrave përcakton numrin e punonjë</w:t>
      </w:r>
      <w:r w:rsidR="003F0FA3" w:rsidRPr="00173DC3">
        <w:rPr>
          <w:rFonts w:ascii="Times New Roman" w:hAnsi="Times New Roman" w:cs="Times New Roman"/>
          <w:bCs/>
          <w:sz w:val="24"/>
          <w:szCs w:val="24"/>
        </w:rPr>
        <w:t xml:space="preserve">sve me kontratë të përkohshme  </w:t>
      </w:r>
      <w:r w:rsidRPr="00173DC3">
        <w:rPr>
          <w:rFonts w:ascii="Times New Roman" w:hAnsi="Times New Roman" w:cs="Times New Roman"/>
          <w:bCs/>
          <w:sz w:val="24"/>
          <w:szCs w:val="24"/>
        </w:rPr>
        <w:t>për çdo ministri dhe institucion qendror. Rregullat për kontraktimin dhe pagesën e punonjësve të pë</w:t>
      </w:r>
      <w:r w:rsidR="002102C6" w:rsidRPr="00173DC3">
        <w:rPr>
          <w:rFonts w:ascii="Times New Roman" w:hAnsi="Times New Roman" w:cs="Times New Roman"/>
          <w:bCs/>
          <w:sz w:val="24"/>
          <w:szCs w:val="24"/>
        </w:rPr>
        <w:t>rkohshëm përcaktohen në aneksin</w:t>
      </w:r>
      <w:r w:rsidR="003F0FA3" w:rsidRPr="00173DC3">
        <w:rPr>
          <w:rFonts w:ascii="Times New Roman" w:hAnsi="Times New Roman" w:cs="Times New Roman"/>
          <w:bCs/>
          <w:color w:val="FF0000"/>
          <w:sz w:val="24"/>
          <w:szCs w:val="24"/>
        </w:rPr>
        <w:t xml:space="preserve"> </w:t>
      </w:r>
      <w:r w:rsidRPr="00173DC3">
        <w:rPr>
          <w:rFonts w:ascii="Times New Roman" w:hAnsi="Times New Roman" w:cs="Times New Roman"/>
          <w:bCs/>
          <w:color w:val="000000" w:themeColor="text1"/>
          <w:sz w:val="24"/>
          <w:szCs w:val="24"/>
        </w:rPr>
        <w:t>5,</w:t>
      </w:r>
      <w:r w:rsidRPr="00173DC3">
        <w:rPr>
          <w:rFonts w:ascii="Times New Roman" w:hAnsi="Times New Roman" w:cs="Times New Roman"/>
          <w:bCs/>
          <w:color w:val="FF0000"/>
          <w:sz w:val="24"/>
          <w:szCs w:val="24"/>
        </w:rPr>
        <w:t xml:space="preserve"> </w:t>
      </w:r>
      <w:r w:rsidRPr="00173DC3">
        <w:rPr>
          <w:rFonts w:ascii="Times New Roman" w:hAnsi="Times New Roman" w:cs="Times New Roman"/>
          <w:bCs/>
          <w:sz w:val="24"/>
          <w:szCs w:val="24"/>
        </w:rPr>
        <w:t>që i bashkëlidhet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Për vitin 2023 nuk miratohet asnjë ndryshim në strukturat organike të njësive të qeverisjes qendrore me efekte financiare shtesë në koston e personelit, të përllogaritur sipas strukturës së miratuar, me përjashtim të institucioneve të reja.  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i veçantë i institucioneve buxhetore prej 300 milionë lekësh shpërndahet dhe përdoret sipas procedurave që përcaktohen me udhëzim të ministrit përgjegjës për financat. Shumat e shpërndara nga ky fond shtojnë kufijtë e miratuar në tabelën 1, që përmendet në nenin 11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13</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Paga e Presidentit të Republikës është 257 000 lekë në muaj dhe rritet gjatë vitit sipas përcaktimeve që miratohen me vendim të Këshillit të Ministrave.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Metodologjia e llogaritjes së pagës mujore bruto për institucionet e sistemit të drejtësisë miratohet me vendim të Kuvendit.</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14</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Fondi rezervë prej </w:t>
      </w:r>
      <w:r w:rsidR="00020EAE" w:rsidRPr="00173DC3">
        <w:rPr>
          <w:rFonts w:ascii="Times New Roman" w:hAnsi="Times New Roman" w:cs="Times New Roman"/>
          <w:bCs/>
          <w:sz w:val="24"/>
          <w:szCs w:val="24"/>
        </w:rPr>
        <w:t xml:space="preserve">3 500 </w:t>
      </w:r>
      <w:r w:rsidRPr="00173DC3">
        <w:rPr>
          <w:rFonts w:ascii="Times New Roman" w:hAnsi="Times New Roman" w:cs="Times New Roman"/>
          <w:bCs/>
          <w:sz w:val="24"/>
          <w:szCs w:val="24"/>
        </w:rPr>
        <w:t xml:space="preserve">milionë lekësh përdoret me vendim të Këshillit të Ministrave si më poshtë: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a)</w:t>
      </w:r>
      <w:r w:rsidRPr="00173DC3">
        <w:rPr>
          <w:rFonts w:ascii="Times New Roman" w:hAnsi="Times New Roman" w:cs="Times New Roman"/>
          <w:bCs/>
          <w:sz w:val="24"/>
          <w:szCs w:val="24"/>
        </w:rPr>
        <w:tab/>
      </w:r>
      <w:r w:rsidR="00020EAE" w:rsidRPr="00173DC3">
        <w:rPr>
          <w:rFonts w:ascii="Times New Roman" w:hAnsi="Times New Roman" w:cs="Times New Roman"/>
          <w:bCs/>
          <w:sz w:val="24"/>
          <w:szCs w:val="24"/>
        </w:rPr>
        <w:t xml:space="preserve">1 700 </w:t>
      </w:r>
      <w:r w:rsidRPr="00173DC3">
        <w:rPr>
          <w:rFonts w:ascii="Times New Roman" w:hAnsi="Times New Roman" w:cs="Times New Roman"/>
          <w:bCs/>
          <w:sz w:val="24"/>
          <w:szCs w:val="24"/>
        </w:rPr>
        <w:t xml:space="preserve">milionë lekë për raste të paparashikuara të njësive të qeverisjes së përgjithshme;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w:t>
      </w:r>
      <w:r w:rsidRPr="00173DC3">
        <w:rPr>
          <w:rFonts w:ascii="Times New Roman" w:hAnsi="Times New Roman" w:cs="Times New Roman"/>
          <w:bCs/>
          <w:sz w:val="24"/>
          <w:szCs w:val="24"/>
        </w:rPr>
        <w:tab/>
        <w:t>1 800 milionë lekë</w:t>
      </w:r>
      <w:r w:rsidR="003F0FA3" w:rsidRPr="00173DC3">
        <w:rPr>
          <w:rFonts w:ascii="Times New Roman" w:hAnsi="Times New Roman" w:cs="Times New Roman"/>
          <w:bCs/>
          <w:sz w:val="24"/>
          <w:szCs w:val="24"/>
        </w:rPr>
        <w:t xml:space="preserve"> për përballimin e kostos së</w:t>
      </w:r>
      <w:r w:rsidRPr="00173DC3">
        <w:rPr>
          <w:rFonts w:ascii="Times New Roman" w:hAnsi="Times New Roman" w:cs="Times New Roman"/>
          <w:bCs/>
          <w:sz w:val="24"/>
          <w:szCs w:val="24"/>
        </w:rPr>
        <w:t xml:space="preserve"> zgjedhjeve.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Kontingjenca për risqet e borxhit prej </w:t>
      </w:r>
      <w:r w:rsidR="00DF7124" w:rsidRPr="00173DC3">
        <w:rPr>
          <w:rFonts w:ascii="Times New Roman" w:hAnsi="Times New Roman" w:cs="Times New Roman"/>
          <w:bCs/>
          <w:color w:val="000000" w:themeColor="text1"/>
          <w:sz w:val="24"/>
          <w:szCs w:val="24"/>
        </w:rPr>
        <w:t>4 9</w:t>
      </w:r>
      <w:r w:rsidRPr="00173DC3">
        <w:rPr>
          <w:rFonts w:ascii="Times New Roman" w:hAnsi="Times New Roman" w:cs="Times New Roman"/>
          <w:bCs/>
          <w:color w:val="000000" w:themeColor="text1"/>
          <w:sz w:val="24"/>
          <w:szCs w:val="24"/>
        </w:rPr>
        <w:t xml:space="preserve">00 </w:t>
      </w:r>
      <w:r w:rsidRPr="00173DC3">
        <w:rPr>
          <w:rFonts w:ascii="Times New Roman" w:hAnsi="Times New Roman" w:cs="Times New Roman"/>
          <w:bCs/>
          <w:sz w:val="24"/>
          <w:szCs w:val="24"/>
        </w:rPr>
        <w:t>milionë lekësh përdoret nga ministri përgjegjës për financat për të kompensuar rreziqe potenciale nga luhatjet në kurset e këmbimit ose normat e interesit, me ndikim në shpenzimet për interesa.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Kontigjenca prej </w:t>
      </w:r>
      <w:r w:rsidR="00DF7124" w:rsidRPr="00173DC3">
        <w:rPr>
          <w:rFonts w:ascii="Times New Roman" w:hAnsi="Times New Roman" w:cs="Times New Roman"/>
          <w:bCs/>
          <w:color w:val="000000" w:themeColor="text1"/>
          <w:sz w:val="24"/>
          <w:szCs w:val="24"/>
        </w:rPr>
        <w:t>12</w:t>
      </w:r>
      <w:r w:rsidR="00020EAE" w:rsidRPr="00173DC3">
        <w:rPr>
          <w:rFonts w:ascii="Times New Roman" w:hAnsi="Times New Roman" w:cs="Times New Roman"/>
          <w:bCs/>
          <w:color w:val="000000" w:themeColor="text1"/>
          <w:sz w:val="24"/>
          <w:szCs w:val="24"/>
        </w:rPr>
        <w:t xml:space="preserve"> 000</w:t>
      </w:r>
      <w:r w:rsidR="003F0FA3" w:rsidRPr="00173DC3">
        <w:rPr>
          <w:rFonts w:ascii="Times New Roman" w:hAnsi="Times New Roman" w:cs="Times New Roman"/>
          <w:bCs/>
          <w:color w:val="000000" w:themeColor="text1"/>
          <w:sz w:val="24"/>
          <w:szCs w:val="24"/>
        </w:rPr>
        <w:t xml:space="preserve"> </w:t>
      </w:r>
      <w:r w:rsidR="003F0FA3" w:rsidRPr="00173DC3">
        <w:rPr>
          <w:rFonts w:ascii="Times New Roman" w:hAnsi="Times New Roman" w:cs="Times New Roman"/>
          <w:bCs/>
          <w:sz w:val="24"/>
          <w:szCs w:val="24"/>
        </w:rPr>
        <w:t>milionë lekësh</w:t>
      </w:r>
      <w:r w:rsidRPr="00173DC3">
        <w:rPr>
          <w:rFonts w:ascii="Times New Roman" w:hAnsi="Times New Roman" w:cs="Times New Roman"/>
          <w:bCs/>
          <w:sz w:val="24"/>
          <w:szCs w:val="24"/>
        </w:rPr>
        <w:t xml:space="preserve"> </w:t>
      </w:r>
      <w:r w:rsidR="002102C6" w:rsidRPr="00173DC3">
        <w:rPr>
          <w:rFonts w:ascii="Times New Roman" w:hAnsi="Times New Roman" w:cs="Times New Roman"/>
          <w:bCs/>
          <w:sz w:val="24"/>
          <w:szCs w:val="24"/>
        </w:rPr>
        <w:t>përdoret</w:t>
      </w:r>
      <w:r w:rsidRPr="00173DC3">
        <w:rPr>
          <w:rFonts w:ascii="Times New Roman" w:hAnsi="Times New Roman" w:cs="Times New Roman"/>
          <w:bCs/>
          <w:sz w:val="24"/>
          <w:szCs w:val="24"/>
        </w:rPr>
        <w:t xml:space="preserve"> me vend</w:t>
      </w:r>
      <w:r w:rsidR="003F0FA3" w:rsidRPr="00173DC3">
        <w:rPr>
          <w:rFonts w:ascii="Times New Roman" w:hAnsi="Times New Roman" w:cs="Times New Roman"/>
          <w:bCs/>
          <w:sz w:val="24"/>
          <w:szCs w:val="24"/>
        </w:rPr>
        <w:t>im të Këshillit të Ministrave për raste të</w:t>
      </w:r>
      <w:r w:rsidRPr="00173DC3">
        <w:rPr>
          <w:rFonts w:ascii="Times New Roman" w:hAnsi="Times New Roman" w:cs="Times New Roman"/>
          <w:bCs/>
          <w:sz w:val="24"/>
          <w:szCs w:val="24"/>
        </w:rPr>
        <w:t xml:space="preserve"> paparashikuara.</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Shumat</w:t>
      </w:r>
      <w:r w:rsidR="003F0FA3" w:rsidRPr="00173DC3">
        <w:rPr>
          <w:rFonts w:ascii="Times New Roman" w:hAnsi="Times New Roman" w:cs="Times New Roman"/>
          <w:bCs/>
          <w:sz w:val="24"/>
          <w:szCs w:val="24"/>
        </w:rPr>
        <w:t xml:space="preserve"> e shpërndara nga fondi rezervё</w:t>
      </w:r>
      <w:r w:rsidRPr="00173DC3">
        <w:rPr>
          <w:rFonts w:ascii="Times New Roman" w:hAnsi="Times New Roman" w:cs="Times New Roman"/>
          <w:bCs/>
          <w:sz w:val="24"/>
          <w:szCs w:val="24"/>
        </w:rPr>
        <w:t>, kontigjenca dhe kontingjenca për risqet e borxhit shtojnë kufijtë e miratuar në tabelat 1 dhe 4, që përmenden në nenin 11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15</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Transferta e pakushtëzuar që buxheti qendror ia transferon pushtetit vendor përfshin fondet për përballimin e veprimtarive dhe të funksioneve që përcaktohen në aktet ligjore dhe nënligjore në fuqi. Transferta e pakushtëzuar e </w:t>
      </w:r>
      <w:r w:rsidR="002102C6" w:rsidRPr="00173DC3">
        <w:rPr>
          <w:rFonts w:ascii="Times New Roman" w:hAnsi="Times New Roman" w:cs="Times New Roman"/>
          <w:bCs/>
          <w:sz w:val="24"/>
          <w:szCs w:val="24"/>
        </w:rPr>
        <w:t>përgjithshme</w:t>
      </w:r>
      <w:r w:rsidRPr="00173DC3">
        <w:rPr>
          <w:rFonts w:ascii="Times New Roman" w:hAnsi="Times New Roman" w:cs="Times New Roman"/>
          <w:bCs/>
          <w:sz w:val="24"/>
          <w:szCs w:val="24"/>
        </w:rPr>
        <w:t xml:space="preserve"> shpërndahet ndërmjet njësive të vetëqeverisjes vendore sipas formulës së paraqitur në aneksin 1 që i bashkëlidhet këtij ligji. Shuma e transfertës së pakushtëzuar për çdo njësi të vetëqeverisjes vendore paraqitet në tabelën 3 që i bashkëlidhet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lastRenderedPageBreak/>
        <w:t>Fondi rezervë nga totali i transfertës së pakushtëzuar të përgjithshme përdoret nga ministria përgjegjëse për financat në përputhje me kriteret e përcaktuara në aneksin 2 që i bashkëlidhet këtij ligji. Fondet për programin buxhetor për infrastrukturën vendore dhe rajonale përdoren sipas aneksit 3 që i bashkëlidhet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Transferta e pakushtëzuar sektoriale për funksionet e reja të transferuara në bashkitë shpërndahet sipas anekseve 1 dhe 4 që i bashkëlidhen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Personeli administrativ i këshillit të qarkut nuk mund t</w:t>
      </w:r>
      <w:r w:rsidR="00FB7D9E" w:rsidRPr="00173DC3">
        <w:rPr>
          <w:rFonts w:ascii="Times New Roman" w:hAnsi="Times New Roman" w:cs="Times New Roman"/>
          <w:bCs/>
          <w:sz w:val="24"/>
          <w:szCs w:val="24"/>
        </w:rPr>
        <w:t>ë jetë më shumë se 10</w:t>
      </w:r>
      <w:r w:rsidRPr="00173DC3">
        <w:rPr>
          <w:rFonts w:ascii="Times New Roman" w:hAnsi="Times New Roman" w:cs="Times New Roman"/>
          <w:bCs/>
          <w:sz w:val="24"/>
          <w:szCs w:val="24"/>
        </w:rPr>
        <w:t>.</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Fondet e trashëguara nga vitet e mëparshme përdoren nga njësitë e vetëqeverisjes vendore sipas rregullave të përcaktuara nga ministri përgjegjës për financat.</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për emergjencat civile, në masën 800 milionë lekë, akordohet në programin “Emergjecat civile” të Ministrisë së Mbrojtjes dhe shpërndahet në formën e transfertës së kushtëzuar për njësitë e vetëqeverisjes ve</w:t>
      </w:r>
      <w:r w:rsidR="00FB7D9E" w:rsidRPr="00173DC3">
        <w:rPr>
          <w:rFonts w:ascii="Times New Roman" w:hAnsi="Times New Roman" w:cs="Times New Roman"/>
          <w:bCs/>
          <w:sz w:val="24"/>
          <w:szCs w:val="24"/>
        </w:rPr>
        <w:t>ndore nga Ministria e Mbrojtjes</w:t>
      </w:r>
      <w:r w:rsidRPr="00173DC3">
        <w:rPr>
          <w:rFonts w:ascii="Times New Roman" w:hAnsi="Times New Roman" w:cs="Times New Roman"/>
          <w:bCs/>
          <w:sz w:val="24"/>
          <w:szCs w:val="24"/>
        </w:rPr>
        <w:t xml:space="preserve"> në bashkëpunim me Ministrinë e Financave dhe Ekonomisë me një formulë, e cila bazohet në peshën specifike që zë buxheti i çdo bashkie ndaj totalit të buxhetit të të gjitha bashkive.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prej 1.000 milionë lekë</w:t>
      </w:r>
      <w:r w:rsidR="003B143E" w:rsidRPr="00173DC3">
        <w:rPr>
          <w:rFonts w:ascii="Times New Roman" w:hAnsi="Times New Roman" w:cs="Times New Roman"/>
          <w:bCs/>
          <w:sz w:val="24"/>
          <w:szCs w:val="24"/>
        </w:rPr>
        <w:t>sh</w:t>
      </w:r>
      <w:r w:rsidRPr="00173DC3">
        <w:rPr>
          <w:rFonts w:ascii="Times New Roman" w:hAnsi="Times New Roman" w:cs="Times New Roman"/>
          <w:bCs/>
          <w:sz w:val="24"/>
          <w:szCs w:val="24"/>
        </w:rPr>
        <w:t xml:space="preserve"> në zërin shpenzime kapitale në programin “Em</w:t>
      </w:r>
      <w:r w:rsidR="003B143E" w:rsidRPr="00173DC3">
        <w:rPr>
          <w:rFonts w:ascii="Times New Roman" w:hAnsi="Times New Roman" w:cs="Times New Roman"/>
          <w:bCs/>
          <w:sz w:val="24"/>
          <w:szCs w:val="24"/>
        </w:rPr>
        <w:t>ergjencat c</w:t>
      </w:r>
      <w:r w:rsidRPr="00173DC3">
        <w:rPr>
          <w:rFonts w:ascii="Times New Roman" w:hAnsi="Times New Roman" w:cs="Times New Roman"/>
          <w:bCs/>
          <w:sz w:val="24"/>
          <w:szCs w:val="24"/>
        </w:rPr>
        <w:t xml:space="preserve">ivile” të Ministrisë së Mbrojtjes akordohet me vendim të Këshillit të Ministrave për financimin e projekteve që lidhen me parandalimin e fatkeqësive natyrore, sipas kritereve në aneksin 6 bashkëlidhur këtij ligji. </w:t>
      </w:r>
    </w:p>
    <w:p w:rsidR="005133A5" w:rsidRPr="00173DC3" w:rsidRDefault="003B143E"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prej 200 milionë lekë</w:t>
      </w:r>
      <w:r w:rsidR="00FB7D9E" w:rsidRPr="00173DC3">
        <w:rPr>
          <w:rFonts w:ascii="Times New Roman" w:hAnsi="Times New Roman" w:cs="Times New Roman"/>
          <w:bCs/>
          <w:sz w:val="24"/>
          <w:szCs w:val="24"/>
        </w:rPr>
        <w:t>sh</w:t>
      </w:r>
      <w:r w:rsidR="005133A5" w:rsidRPr="00173DC3">
        <w:rPr>
          <w:rFonts w:ascii="Times New Roman" w:hAnsi="Times New Roman" w:cs="Times New Roman"/>
          <w:bCs/>
          <w:sz w:val="24"/>
          <w:szCs w:val="24"/>
        </w:rPr>
        <w:t xml:space="preserve"> në zërin shpenzime kapi</w:t>
      </w:r>
      <w:r w:rsidRPr="00173DC3">
        <w:rPr>
          <w:rFonts w:ascii="Times New Roman" w:hAnsi="Times New Roman" w:cs="Times New Roman"/>
          <w:bCs/>
          <w:sz w:val="24"/>
          <w:szCs w:val="24"/>
        </w:rPr>
        <w:t>tale në programin “Emergjencat c</w:t>
      </w:r>
      <w:r w:rsidR="005133A5" w:rsidRPr="00173DC3">
        <w:rPr>
          <w:rFonts w:ascii="Times New Roman" w:hAnsi="Times New Roman" w:cs="Times New Roman"/>
          <w:bCs/>
          <w:sz w:val="24"/>
          <w:szCs w:val="24"/>
        </w:rPr>
        <w:t xml:space="preserve">ivile” të Ministrisë së Mbrojtjes përdoret për </w:t>
      </w:r>
      <w:r w:rsidR="00FB7D9E" w:rsidRPr="00173DC3">
        <w:rPr>
          <w:rFonts w:ascii="Times New Roman" w:hAnsi="Times New Roman" w:cs="Times New Roman"/>
          <w:bCs/>
          <w:sz w:val="24"/>
          <w:szCs w:val="24"/>
        </w:rPr>
        <w:t>eliminimin</w:t>
      </w:r>
      <w:r w:rsidR="005133A5" w:rsidRPr="00173DC3">
        <w:rPr>
          <w:rFonts w:ascii="Times New Roman" w:hAnsi="Times New Roman" w:cs="Times New Roman"/>
          <w:bCs/>
          <w:sz w:val="24"/>
          <w:szCs w:val="24"/>
        </w:rPr>
        <w:t xml:space="preserve"> e pasojave në rastet e fatkeqësive natyrore, kur shpenzimi ka natyrën e investimit. Ky fond shpërndahet gjatë vitit buxhetor në bazë të kërkesës së njësisë së vetëqeverisjes vendore, sipas rasteve të ndodhjes së fatkeqësisë.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për mbetjet urbane në masën 700 milionë lekë akordohet si transfertë e pakushtëzuar sektoriale për njësitë e vetëqeverisjes vendore për mbetjet urbane në kolonën “Menaxhimi i mbetjeve” dhe përdoret/shpërndahet në përputhje me kriteret e vendosura në aneksin 7 bashkëlidhur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Njësitë e vetëqeverisjes vendore aplikojnë për financim/bashkëfinancim për përmirësimin e infrastrukturës shkollore dhe asaj sportive pranë ministrisë përgjegjëse për arsimin dhe sportin. Ministri përgjegjës për arsimin dhe sportin nxjerr udhëzim për kriteret, procedurat, afatet për shpalljen e thirrjes dhe dokumentacionin e nevojshëm për aplikim nga njësitë e vetëqeverisjes vendore.</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16</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Fondet e buxhetit të shtetit për institucionet e arsimit të lartë shpërndahen në formën e grantit. Ky fond shpërndahet sipas kategorive: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a)</w:t>
      </w:r>
      <w:r w:rsidRPr="00173DC3">
        <w:rPr>
          <w:rFonts w:ascii="Times New Roman" w:hAnsi="Times New Roman" w:cs="Times New Roman"/>
          <w:bCs/>
          <w:sz w:val="24"/>
          <w:szCs w:val="24"/>
        </w:rPr>
        <w:tab/>
        <w:t>granti i politikave të zhvillimit për institucionet publike të arsimit të lartë;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b)</w:t>
      </w:r>
      <w:r w:rsidRPr="00173DC3">
        <w:rPr>
          <w:rFonts w:ascii="Times New Roman" w:hAnsi="Times New Roman" w:cs="Times New Roman"/>
          <w:bCs/>
          <w:sz w:val="24"/>
          <w:szCs w:val="24"/>
        </w:rPr>
        <w:tab/>
        <w:t>granti i mësimdhënies;</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c)</w:t>
      </w:r>
      <w:r w:rsidRPr="00173DC3">
        <w:rPr>
          <w:rFonts w:ascii="Times New Roman" w:hAnsi="Times New Roman" w:cs="Times New Roman"/>
          <w:bCs/>
          <w:sz w:val="24"/>
          <w:szCs w:val="24"/>
        </w:rPr>
        <w:tab/>
        <w:t>granti i punës kërkimore-shkencore dhe veprimtarive krijuese.</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Modeli i financimit për institucionet e arsimit të lartë dhe kërkimin shkencor miratohet me vendim të Këshillit të Ministrave. Kriteret për përdorimin e granteve të politikave të zhvillimit për institucionet publike të arsimit të lartë dhe granti i punës kërkimore-shkencore dhe veprimtarive krijuese janë përcaktuar në  nenet 111 dhe 113 të ligjit nr. 80/2015 “Për arsimin e lartë dhe kërkimin shkencor në institucionet e arsimit të lartë në Republikën e Shqipërisë”.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Fondi i projekteve konkurruese për zhvillimin e institucioneve të arsimit të lartë mund të shpërndahet edhe te njësitë e vetëqeverisjes vendore në ato raste kur me vendim të Këshillit të Ministrave ato përcaktohen autoritete kontraktore për realizimin e procedurave të prokurimit për studim-projektimin apo zbatimin e projektit për një ose disa institucione të arsimit të lartë. Në këto raste, çelja e fondit nga ministria përgjegjëse për financat bëhet pas paraqitjes së kërkesës nga  njësia e vetëqeverisjes vendore përmes ministrisë përgjegjëse për arsimin.</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17</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Kufiri i shpenzimeve, sipas tabelës l që përmendet në nenin 11 të këtij ligji, mund të rishpërndahet gjatë vitit ndërmjet programeve brenda të njëjtit institucion buxhetor apo ndërmjet programeve të institucioneve të ndryshme nga Këshilli i Ministrave deri në masën 10 për qind të shumës së përgjithshme të shpenzimeve  korrente apo shpenzimeve të përgjithshme kapitale, duke ruajtur totalin e shpenzimeve korrente dhe kapitale. Të drejtat e përcaktu</w:t>
      </w:r>
      <w:r w:rsidR="00FB7D9E" w:rsidRPr="00173DC3">
        <w:rPr>
          <w:rFonts w:ascii="Times New Roman" w:hAnsi="Times New Roman" w:cs="Times New Roman"/>
          <w:bCs/>
          <w:sz w:val="24"/>
          <w:szCs w:val="24"/>
        </w:rPr>
        <w:t>ara në nenin 44 të  ligjit nr.</w:t>
      </w:r>
      <w:r w:rsidRPr="00173DC3">
        <w:rPr>
          <w:rFonts w:ascii="Times New Roman" w:hAnsi="Times New Roman" w:cs="Times New Roman"/>
          <w:bCs/>
          <w:sz w:val="24"/>
          <w:szCs w:val="24"/>
        </w:rPr>
        <w:t>9636, datë 26.6.2008, “Për menaxhimin e sistemit buxhet</w:t>
      </w:r>
      <w:r w:rsidR="00FB7D9E" w:rsidRPr="00173DC3">
        <w:rPr>
          <w:rFonts w:ascii="Times New Roman" w:hAnsi="Times New Roman" w:cs="Times New Roman"/>
          <w:bCs/>
          <w:sz w:val="24"/>
          <w:szCs w:val="24"/>
        </w:rPr>
        <w:t xml:space="preserve">or në Republikën e Shqipërisë”, </w:t>
      </w:r>
      <w:r w:rsidRPr="00173DC3">
        <w:rPr>
          <w:rFonts w:ascii="Times New Roman" w:hAnsi="Times New Roman" w:cs="Times New Roman"/>
          <w:bCs/>
          <w:sz w:val="24"/>
          <w:szCs w:val="24"/>
        </w:rPr>
        <w:t>tё ndryshuar, për rishpërndarjen e fondeve buxhetore përcaktojnë treguesit e faktit në tabelat 1 dhe 4, që përmenden në nenin 11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18</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Tavani për vlerën totale të kontratave në përqindje të PBB-së për të gjitha projektet koncesionare/PPP-të ekzistuese dhe ato të kontraktuara rishtazi </w:t>
      </w:r>
      <w:r w:rsidR="00FB7D9E" w:rsidRPr="00173DC3">
        <w:rPr>
          <w:rFonts w:ascii="Times New Roman" w:hAnsi="Times New Roman" w:cs="Times New Roman"/>
          <w:bCs/>
          <w:sz w:val="24"/>
          <w:szCs w:val="24"/>
        </w:rPr>
        <w:t>për</w:t>
      </w:r>
      <w:r w:rsidRPr="00173DC3">
        <w:rPr>
          <w:rFonts w:ascii="Times New Roman" w:hAnsi="Times New Roman" w:cs="Times New Roman"/>
          <w:bCs/>
          <w:sz w:val="24"/>
          <w:szCs w:val="24"/>
        </w:rPr>
        <w:t xml:space="preserve"> vitin 2022, në përputhje me të dhënat e regjistrit të koncesioneve, është 35.9% e PBB-sё. Çdo kontratë e re ndjek procedurat dhe rregullat e legjislacionit në fuqi për koncesionet/PPP-të.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19</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Kufiri për rritjen vjetore të totalit ekzistues të stokut të borxhit të qeverisjes qendrore dhe atij të garantuar të qeverisjes qendrore në dobi të palëve të treta përfituese për vitin 2023, pa përfshirë efektet e mundshme prej ndryshimit të kursit të këmbimit, është deri në 54 555 milionë lekë, i dhënë me hollësi si më poshtë: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 për huamarrjen totale neto vjetore, përfshirë huamarrjen e brendshme dhe atë të huaj, deri në 50 353 milionë lekë;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për rritjen vjetore të garancive të qeverisjes qendrore në dobi të palëve të treta përfituese deri në 4 202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Stoku i borxhit publik vlerësohet të arrijë  në  1 469 853 milionë lekë, pa përfshirë efektet e mundshme prej ndryshimit të kursit të këmbimit, i dhënë me hollësi si më poshtë: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stoku i borxhit të qeverisjes qendrore 1 396 231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stoku i borxhit të garantur nga qeverisja qendrore 72 872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stoku i borxhit të qeverisjes vendore 750 milionë lekë.</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20</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Në rast të emetimit të një eurobondi të ri, vlera e të c</w:t>
      </w:r>
      <w:r w:rsidR="00FB7D9E" w:rsidRPr="00173DC3">
        <w:rPr>
          <w:rFonts w:ascii="Times New Roman" w:hAnsi="Times New Roman" w:cs="Times New Roman"/>
          <w:bCs/>
          <w:sz w:val="24"/>
          <w:szCs w:val="24"/>
        </w:rPr>
        <w:t>ilit mund të jetë më e lartë se</w:t>
      </w:r>
      <w:r w:rsidRPr="00173DC3">
        <w:rPr>
          <w:rFonts w:ascii="Times New Roman" w:hAnsi="Times New Roman" w:cs="Times New Roman"/>
          <w:bCs/>
          <w:sz w:val="24"/>
          <w:szCs w:val="24"/>
        </w:rPr>
        <w:t>sa vlera orientuese prej 59 335 milionë lekë</w:t>
      </w:r>
      <w:r w:rsidR="003B143E" w:rsidRPr="00173DC3">
        <w:rPr>
          <w:rFonts w:ascii="Times New Roman" w:hAnsi="Times New Roman" w:cs="Times New Roman"/>
          <w:bCs/>
          <w:sz w:val="24"/>
          <w:szCs w:val="24"/>
        </w:rPr>
        <w:t>sh</w:t>
      </w:r>
      <w:r w:rsidRPr="00173DC3">
        <w:rPr>
          <w:rFonts w:ascii="Times New Roman" w:hAnsi="Times New Roman" w:cs="Times New Roman"/>
          <w:bCs/>
          <w:sz w:val="24"/>
          <w:szCs w:val="24"/>
        </w:rPr>
        <w:t>; në rast se një parablerje  e mundshme e eurobondit ekzistues që maturohet në vitin</w:t>
      </w:r>
      <w:r w:rsidR="003B143E" w:rsidRPr="00173DC3">
        <w:rPr>
          <w:rFonts w:ascii="Times New Roman" w:hAnsi="Times New Roman" w:cs="Times New Roman"/>
          <w:bCs/>
          <w:sz w:val="24"/>
          <w:szCs w:val="24"/>
        </w:rPr>
        <w:t xml:space="preserve"> 2025 mund të jetë më e ulët se</w:t>
      </w:r>
      <w:r w:rsidRPr="00173DC3">
        <w:rPr>
          <w:rFonts w:ascii="Times New Roman" w:hAnsi="Times New Roman" w:cs="Times New Roman"/>
          <w:bCs/>
          <w:sz w:val="24"/>
          <w:szCs w:val="24"/>
        </w:rPr>
        <w:t>sa vlera orientuese prej 29 668 milion</w:t>
      </w:r>
      <w:r w:rsidR="003B143E" w:rsidRPr="00173DC3">
        <w:rPr>
          <w:rFonts w:ascii="Times New Roman" w:hAnsi="Times New Roman" w:cs="Times New Roman"/>
          <w:bCs/>
          <w:sz w:val="24"/>
          <w:szCs w:val="24"/>
        </w:rPr>
        <w:t>ë l</w:t>
      </w:r>
      <w:r w:rsidRPr="00173DC3">
        <w:rPr>
          <w:rFonts w:ascii="Times New Roman" w:hAnsi="Times New Roman" w:cs="Times New Roman"/>
          <w:bCs/>
          <w:sz w:val="24"/>
          <w:szCs w:val="24"/>
        </w:rPr>
        <w:t>ekë</w:t>
      </w:r>
      <w:r w:rsidR="003B143E" w:rsidRPr="00173DC3">
        <w:rPr>
          <w:rFonts w:ascii="Times New Roman" w:hAnsi="Times New Roman" w:cs="Times New Roman"/>
          <w:bCs/>
          <w:sz w:val="24"/>
          <w:szCs w:val="24"/>
        </w:rPr>
        <w:t>sh</w:t>
      </w:r>
      <w:r w:rsidRPr="00173DC3">
        <w:rPr>
          <w:rFonts w:ascii="Times New Roman" w:hAnsi="Times New Roman" w:cs="Times New Roman"/>
          <w:bCs/>
          <w:sz w:val="24"/>
          <w:szCs w:val="24"/>
        </w:rPr>
        <w:t xml:space="preserve">; </w:t>
      </w:r>
      <w:r w:rsidRPr="00173DC3">
        <w:rPr>
          <w:rFonts w:ascii="Times New Roman" w:hAnsi="Times New Roman" w:cs="Times New Roman"/>
          <w:bCs/>
          <w:color w:val="FF0000"/>
          <w:sz w:val="24"/>
          <w:szCs w:val="24"/>
        </w:rPr>
        <w:t xml:space="preserve"> </w:t>
      </w:r>
      <w:r w:rsidRPr="00173DC3">
        <w:rPr>
          <w:rFonts w:ascii="Times New Roman" w:hAnsi="Times New Roman" w:cs="Times New Roman"/>
          <w:bCs/>
          <w:sz w:val="24"/>
          <w:szCs w:val="24"/>
        </w:rPr>
        <w:t>në rast të disbursimit të ndonjë kredie shtesë në formën e “mbështetjes buxhetore” nga institu</w:t>
      </w:r>
      <w:r w:rsidR="00FB7D9E" w:rsidRPr="00173DC3">
        <w:rPr>
          <w:rFonts w:ascii="Times New Roman" w:hAnsi="Times New Roman" w:cs="Times New Roman"/>
          <w:bCs/>
          <w:sz w:val="24"/>
          <w:szCs w:val="24"/>
        </w:rPr>
        <w:t>cionet financiare ndërkombëtare,</w:t>
      </w:r>
      <w:r w:rsidRPr="00173DC3">
        <w:rPr>
          <w:rFonts w:ascii="Times New Roman" w:hAnsi="Times New Roman" w:cs="Times New Roman"/>
          <w:bCs/>
          <w:sz w:val="24"/>
          <w:szCs w:val="24"/>
        </w:rPr>
        <w:t xml:space="preserve"> </w:t>
      </w:r>
      <w:r w:rsidRPr="00173DC3">
        <w:rPr>
          <w:rFonts w:ascii="Times New Roman" w:hAnsi="Times New Roman" w:cs="Times New Roman"/>
          <w:bCs/>
          <w:color w:val="000000" w:themeColor="text1"/>
          <w:sz w:val="24"/>
          <w:szCs w:val="24"/>
        </w:rPr>
        <w:t xml:space="preserve">si dhe </w:t>
      </w:r>
      <w:r w:rsidRPr="00173DC3">
        <w:rPr>
          <w:rFonts w:ascii="Times New Roman" w:hAnsi="Times New Roman" w:cs="Times New Roman"/>
          <w:bCs/>
          <w:sz w:val="24"/>
          <w:szCs w:val="24"/>
        </w:rPr>
        <w:t xml:space="preserve">në rast të përdorimit të fondeve të përfituara nga alokimi i të drejtave të tërheqjes speciale prej Fondit Monetar Ndërkombëtar, kufijtë respektivë për huamarrjen totale neto, rritjen vjetore të borxhit të qeverisjes qendrore dhe nivelin e vlerësuar të stokut total të borxhit publik, të përcaktuara në këtë nen dhe </w:t>
      </w:r>
      <w:r w:rsidR="00FB7D9E" w:rsidRPr="00173DC3">
        <w:rPr>
          <w:rFonts w:ascii="Times New Roman" w:hAnsi="Times New Roman" w:cs="Times New Roman"/>
          <w:bCs/>
          <w:sz w:val="24"/>
          <w:szCs w:val="24"/>
        </w:rPr>
        <w:t xml:space="preserve">në </w:t>
      </w:r>
      <w:r w:rsidRPr="00173DC3">
        <w:rPr>
          <w:rFonts w:ascii="Times New Roman" w:hAnsi="Times New Roman" w:cs="Times New Roman"/>
          <w:bCs/>
          <w:sz w:val="24"/>
          <w:szCs w:val="24"/>
        </w:rPr>
        <w:t>nenin 19</w:t>
      </w:r>
      <w:r w:rsidR="00FB7D9E" w:rsidRPr="00173DC3">
        <w:rPr>
          <w:rFonts w:ascii="Times New Roman" w:hAnsi="Times New Roman" w:cs="Times New Roman"/>
          <w:bCs/>
          <w:sz w:val="24"/>
          <w:szCs w:val="24"/>
        </w:rPr>
        <w:t xml:space="preserve"> të këtij ligji</w:t>
      </w:r>
      <w:r w:rsidRPr="00173DC3">
        <w:rPr>
          <w:rFonts w:ascii="Times New Roman" w:hAnsi="Times New Roman" w:cs="Times New Roman"/>
          <w:bCs/>
          <w:sz w:val="24"/>
          <w:szCs w:val="24"/>
        </w:rPr>
        <w:t>, mund të tejkalohen der</w:t>
      </w:r>
      <w:r w:rsidR="003B143E" w:rsidRPr="00173DC3">
        <w:rPr>
          <w:rFonts w:ascii="Times New Roman" w:hAnsi="Times New Roman" w:cs="Times New Roman"/>
          <w:bCs/>
          <w:sz w:val="24"/>
          <w:szCs w:val="24"/>
        </w:rPr>
        <w:t>i sa shuma e vlerave të mëposht</w:t>
      </w:r>
      <w:r w:rsidRPr="00173DC3">
        <w:rPr>
          <w:rFonts w:ascii="Times New Roman" w:hAnsi="Times New Roman" w:cs="Times New Roman"/>
          <w:bCs/>
          <w:sz w:val="24"/>
          <w:szCs w:val="24"/>
        </w:rPr>
        <w:t xml:space="preserve">me: </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Diferenca midis vlerës faktike të eurobondit të emetuar dhe vlerës orientuese prej 59 335 milionë lekë</w:t>
      </w:r>
      <w:r w:rsidR="003B143E" w:rsidRPr="00173DC3">
        <w:rPr>
          <w:rFonts w:ascii="Times New Roman" w:hAnsi="Times New Roman" w:cs="Times New Roman"/>
          <w:bCs/>
          <w:sz w:val="24"/>
          <w:szCs w:val="24"/>
        </w:rPr>
        <w:t>sh</w:t>
      </w:r>
      <w:r w:rsidRPr="00173DC3">
        <w:rPr>
          <w:rFonts w:ascii="Times New Roman" w:hAnsi="Times New Roman" w:cs="Times New Roman"/>
          <w:bCs/>
          <w:sz w:val="24"/>
          <w:szCs w:val="24"/>
        </w:rPr>
        <w:t>.</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Diferenca midis vlerës orientuese të parablerjes së mundshme të eurobondit prej 29 668 milion</w:t>
      </w:r>
      <w:r w:rsidR="00FB7D9E" w:rsidRPr="00173DC3">
        <w:rPr>
          <w:rFonts w:ascii="Times New Roman" w:hAnsi="Times New Roman" w:cs="Times New Roman"/>
          <w:bCs/>
          <w:sz w:val="24"/>
          <w:szCs w:val="24"/>
        </w:rPr>
        <w:t>ë</w:t>
      </w:r>
      <w:r w:rsidRPr="00173DC3">
        <w:rPr>
          <w:rFonts w:ascii="Times New Roman" w:hAnsi="Times New Roman" w:cs="Times New Roman"/>
          <w:bCs/>
          <w:sz w:val="24"/>
          <w:szCs w:val="24"/>
        </w:rPr>
        <w:t xml:space="preserve"> </w:t>
      </w:r>
      <w:r w:rsidR="003B143E" w:rsidRPr="00173DC3">
        <w:rPr>
          <w:rFonts w:ascii="Times New Roman" w:hAnsi="Times New Roman" w:cs="Times New Roman"/>
          <w:bCs/>
          <w:sz w:val="24"/>
          <w:szCs w:val="24"/>
        </w:rPr>
        <w:t>l</w:t>
      </w:r>
      <w:r w:rsidRPr="00173DC3">
        <w:rPr>
          <w:rFonts w:ascii="Times New Roman" w:hAnsi="Times New Roman" w:cs="Times New Roman"/>
          <w:bCs/>
          <w:sz w:val="24"/>
          <w:szCs w:val="24"/>
        </w:rPr>
        <w:t>ekë</w:t>
      </w:r>
      <w:r w:rsidR="003B143E" w:rsidRPr="00173DC3">
        <w:rPr>
          <w:rFonts w:ascii="Times New Roman" w:hAnsi="Times New Roman" w:cs="Times New Roman"/>
          <w:bCs/>
          <w:sz w:val="24"/>
          <w:szCs w:val="24"/>
        </w:rPr>
        <w:t>sh</w:t>
      </w:r>
      <w:r w:rsidRPr="00173DC3">
        <w:rPr>
          <w:rFonts w:ascii="Times New Roman" w:hAnsi="Times New Roman" w:cs="Times New Roman"/>
          <w:bCs/>
          <w:sz w:val="24"/>
          <w:szCs w:val="24"/>
        </w:rPr>
        <w:t xml:space="preserve"> dhe vlerës faktike të parablerjes, përfshirë edhe vlerën faktike zero që do </w:t>
      </w:r>
      <w:r w:rsidR="003B143E" w:rsidRPr="00173DC3">
        <w:rPr>
          <w:rFonts w:ascii="Times New Roman" w:hAnsi="Times New Roman" w:cs="Times New Roman"/>
          <w:bCs/>
          <w:sz w:val="24"/>
          <w:szCs w:val="24"/>
        </w:rPr>
        <w:t xml:space="preserve">të </w:t>
      </w:r>
      <w:r w:rsidRPr="00173DC3">
        <w:rPr>
          <w:rFonts w:ascii="Times New Roman" w:hAnsi="Times New Roman" w:cs="Times New Roman"/>
          <w:bCs/>
          <w:color w:val="000000" w:themeColor="text1"/>
          <w:sz w:val="24"/>
          <w:szCs w:val="24"/>
        </w:rPr>
        <w:t>rezulton</w:t>
      </w:r>
      <w:r w:rsidR="00FB7D9E" w:rsidRPr="00173DC3">
        <w:rPr>
          <w:rFonts w:ascii="Times New Roman" w:hAnsi="Times New Roman" w:cs="Times New Roman"/>
          <w:bCs/>
          <w:color w:val="000000" w:themeColor="text1"/>
          <w:sz w:val="24"/>
          <w:szCs w:val="24"/>
        </w:rPr>
        <w:t>t</w:t>
      </w:r>
      <w:r w:rsidRPr="00173DC3">
        <w:rPr>
          <w:rFonts w:ascii="Times New Roman" w:hAnsi="Times New Roman" w:cs="Times New Roman"/>
          <w:bCs/>
          <w:color w:val="000000" w:themeColor="text1"/>
          <w:sz w:val="24"/>
          <w:szCs w:val="24"/>
        </w:rPr>
        <w:t>e</w:t>
      </w:r>
      <w:r w:rsidR="003B143E" w:rsidRPr="00173DC3">
        <w:rPr>
          <w:rFonts w:ascii="Times New Roman" w:hAnsi="Times New Roman" w:cs="Times New Roman"/>
          <w:bCs/>
          <w:sz w:val="24"/>
          <w:szCs w:val="24"/>
        </w:rPr>
        <w:t xml:space="preserve"> në rast të mos</w:t>
      </w:r>
      <w:r w:rsidRPr="00173DC3">
        <w:rPr>
          <w:rFonts w:ascii="Times New Roman" w:hAnsi="Times New Roman" w:cs="Times New Roman"/>
          <w:bCs/>
          <w:sz w:val="24"/>
          <w:szCs w:val="24"/>
        </w:rPr>
        <w:t>bërjes së parablerjes.</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Vlera e kredisë në formën e “mbështetjes buxhetore” të disbursu</w:t>
      </w:r>
      <w:r w:rsidR="003B143E" w:rsidRPr="00173DC3">
        <w:rPr>
          <w:rFonts w:ascii="Times New Roman" w:hAnsi="Times New Roman" w:cs="Times New Roman"/>
          <w:bCs/>
          <w:sz w:val="24"/>
          <w:szCs w:val="24"/>
        </w:rPr>
        <w:t>ar.</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w:t>
      </w:r>
      <w:r w:rsidRPr="00173DC3">
        <w:rPr>
          <w:rFonts w:ascii="Times New Roman" w:hAnsi="Times New Roman" w:cs="Times New Roman"/>
          <w:bCs/>
          <w:sz w:val="24"/>
          <w:szCs w:val="24"/>
        </w:rPr>
        <w:tab/>
        <w:t>Vlera e përdorimit të fondeve të përfituara nga alokimi i të drejtave të tërheqjes speciale p</w:t>
      </w:r>
      <w:r w:rsidR="003B143E" w:rsidRPr="00173DC3">
        <w:rPr>
          <w:rFonts w:ascii="Times New Roman" w:hAnsi="Times New Roman" w:cs="Times New Roman"/>
          <w:bCs/>
          <w:sz w:val="24"/>
          <w:szCs w:val="24"/>
        </w:rPr>
        <w:t>rej Fondit Monetar Ndërkombëtar.</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lastRenderedPageBreak/>
        <w:t xml:space="preserve"> </w:t>
      </w:r>
      <w:r w:rsidR="00F25CF4" w:rsidRPr="00173DC3">
        <w:rPr>
          <w:rFonts w:ascii="Times New Roman" w:hAnsi="Times New Roman" w:cs="Times New Roman"/>
          <w:bCs/>
          <w:sz w:val="24"/>
          <w:szCs w:val="24"/>
        </w:rPr>
        <w:t>N</w:t>
      </w:r>
      <w:r w:rsidRPr="00173DC3">
        <w:rPr>
          <w:rFonts w:ascii="Times New Roman" w:hAnsi="Times New Roman" w:cs="Times New Roman"/>
          <w:bCs/>
          <w:sz w:val="24"/>
          <w:szCs w:val="24"/>
        </w:rPr>
        <w:t>iveli i deficitit të buxhetit të vitit 2023 mbetet i pandryshuar sipas përcaktimit në nenin 1 të këtij ligji.</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Këshilli i Ministrave mund të akumulojë dhe mund të mbajë në llogarinë unike të Këshillit të Ministrave në Bankën e Shqipërisë çdo gjendje shtesë të likuiditetit që mund të krijohet dhe mbartet për të financuar buxhetet e viteve fiskale pasardhëse, por në mbyllje të vitit buxhetor gjendja e akumuluar nuk duhet të kalojë vlerën mesatare prej dy muajsh kumulativë të shpenzimeve buxhetore të planifikuara për atë vit buxhetor.</w:t>
      </w:r>
    </w:p>
    <w:p w:rsidR="005133A5" w:rsidRPr="00173DC3" w:rsidRDefault="005133A5" w:rsidP="005133A5">
      <w:pPr>
        <w:spacing w:after="0" w:line="240" w:lineRule="auto"/>
        <w:jc w:val="both"/>
        <w:rPr>
          <w:rFonts w:ascii="Times New Roman" w:hAnsi="Times New Roman" w:cs="Times New Roman"/>
          <w:bCs/>
          <w:sz w:val="24"/>
          <w:szCs w:val="24"/>
        </w:rPr>
      </w:pPr>
    </w:p>
    <w:p w:rsidR="005857A5" w:rsidRPr="00173DC3" w:rsidRDefault="005857A5" w:rsidP="005857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21</w:t>
      </w:r>
    </w:p>
    <w:p w:rsidR="005857A5" w:rsidRPr="00173DC3" w:rsidRDefault="005857A5" w:rsidP="005857A5">
      <w:pPr>
        <w:spacing w:after="0" w:line="240" w:lineRule="auto"/>
        <w:jc w:val="center"/>
        <w:rPr>
          <w:rFonts w:ascii="Times New Roman" w:hAnsi="Times New Roman" w:cs="Times New Roman"/>
          <w:bCs/>
          <w:sz w:val="24"/>
          <w:szCs w:val="24"/>
        </w:rPr>
      </w:pPr>
    </w:p>
    <w:p w:rsidR="005857A5" w:rsidRPr="00173DC3" w:rsidRDefault="005857A5" w:rsidP="005857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Ngarkohet ministri përgjegjës për financat të nxjerrë udhëzime për zbatimin e  këtij ligji.</w:t>
      </w:r>
    </w:p>
    <w:p w:rsidR="005857A5" w:rsidRPr="00173DC3" w:rsidRDefault="005857A5" w:rsidP="005133A5">
      <w:pPr>
        <w:spacing w:after="0" w:line="240" w:lineRule="auto"/>
        <w:jc w:val="center"/>
        <w:rPr>
          <w:rFonts w:ascii="Times New Roman" w:hAnsi="Times New Roman" w:cs="Times New Roman"/>
          <w:bCs/>
          <w:sz w:val="24"/>
          <w:szCs w:val="24"/>
        </w:rPr>
      </w:pPr>
    </w:p>
    <w:p w:rsidR="005133A5" w:rsidRPr="00173DC3" w:rsidRDefault="005133A5" w:rsidP="005133A5">
      <w:pPr>
        <w:spacing w:after="0" w:line="240" w:lineRule="auto"/>
        <w:jc w:val="center"/>
        <w:rPr>
          <w:rFonts w:ascii="Times New Roman" w:hAnsi="Times New Roman" w:cs="Times New Roman"/>
          <w:bCs/>
          <w:sz w:val="24"/>
          <w:szCs w:val="24"/>
        </w:rPr>
      </w:pPr>
      <w:r w:rsidRPr="00173DC3">
        <w:rPr>
          <w:rFonts w:ascii="Times New Roman" w:hAnsi="Times New Roman" w:cs="Times New Roman"/>
          <w:bCs/>
          <w:sz w:val="24"/>
          <w:szCs w:val="24"/>
        </w:rPr>
        <w:t>Neni 22</w:t>
      </w:r>
    </w:p>
    <w:p w:rsidR="005133A5" w:rsidRPr="00173DC3" w:rsidRDefault="005133A5" w:rsidP="005133A5">
      <w:pPr>
        <w:spacing w:after="0" w:line="240" w:lineRule="auto"/>
        <w:ind w:firstLine="432"/>
        <w:jc w:val="both"/>
        <w:rPr>
          <w:rFonts w:ascii="Times New Roman" w:hAnsi="Times New Roman" w:cs="Times New Roman"/>
          <w:bCs/>
          <w:sz w:val="24"/>
          <w:szCs w:val="24"/>
        </w:rPr>
      </w:pP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Ky ligj hyn në fuqi 15 ditë pas botimit në Fletoren Zyrtare dhe i shtrin efektet financiare nga data 1 janar 2023.</w:t>
      </w:r>
    </w:p>
    <w:p w:rsidR="005133A5" w:rsidRPr="00173DC3" w:rsidRDefault="005133A5" w:rsidP="005133A5">
      <w:pPr>
        <w:spacing w:after="0" w:line="240" w:lineRule="auto"/>
        <w:ind w:firstLine="432"/>
        <w:jc w:val="both"/>
        <w:rPr>
          <w:rFonts w:ascii="Times New Roman" w:hAnsi="Times New Roman" w:cs="Times New Roman"/>
          <w:bCs/>
          <w:sz w:val="24"/>
          <w:szCs w:val="24"/>
        </w:rPr>
      </w:pPr>
      <w:r w:rsidRPr="00173DC3">
        <w:rPr>
          <w:rFonts w:ascii="Times New Roman" w:hAnsi="Times New Roman" w:cs="Times New Roman"/>
          <w:bCs/>
          <w:sz w:val="24"/>
          <w:szCs w:val="24"/>
        </w:rPr>
        <w:t xml:space="preserve">                                                                                                 </w:t>
      </w:r>
    </w:p>
    <w:p w:rsidR="007252C5" w:rsidRPr="00173DC3" w:rsidRDefault="007252C5" w:rsidP="00274C36">
      <w:pPr>
        <w:spacing w:after="0" w:line="240" w:lineRule="auto"/>
        <w:ind w:firstLine="432"/>
        <w:jc w:val="both"/>
        <w:rPr>
          <w:rFonts w:ascii="Times New Roman" w:hAnsi="Times New Roman" w:cs="Times New Roman"/>
          <w:bCs/>
          <w:sz w:val="24"/>
          <w:szCs w:val="24"/>
        </w:rPr>
      </w:pPr>
    </w:p>
    <w:p w:rsidR="00976A3C" w:rsidRPr="00173DC3" w:rsidRDefault="00976A3C" w:rsidP="00274C36">
      <w:pPr>
        <w:spacing w:after="0" w:line="240" w:lineRule="auto"/>
        <w:jc w:val="both"/>
        <w:rPr>
          <w:rFonts w:ascii="Times New Roman" w:hAnsi="Times New Roman" w:cs="Times New Roman"/>
          <w:bCs/>
          <w:sz w:val="24"/>
          <w:szCs w:val="24"/>
        </w:rPr>
      </w:pPr>
      <w:r w:rsidRPr="00173DC3">
        <w:rPr>
          <w:rFonts w:ascii="Times New Roman" w:hAnsi="Times New Roman" w:cs="Times New Roman"/>
          <w:bCs/>
          <w:sz w:val="24"/>
          <w:szCs w:val="24"/>
        </w:rPr>
        <w:t xml:space="preserve">                                                                              </w:t>
      </w:r>
      <w:r w:rsidR="00BA1706" w:rsidRPr="00173DC3">
        <w:rPr>
          <w:rFonts w:ascii="Times New Roman" w:hAnsi="Times New Roman" w:cs="Times New Roman"/>
          <w:bCs/>
          <w:sz w:val="24"/>
          <w:szCs w:val="24"/>
        </w:rPr>
        <w:t xml:space="preserve">               </w:t>
      </w:r>
      <w:r w:rsidR="006F4D55" w:rsidRPr="00173DC3">
        <w:rPr>
          <w:rFonts w:ascii="Times New Roman" w:hAnsi="Times New Roman" w:cs="Times New Roman"/>
          <w:bCs/>
          <w:sz w:val="24"/>
          <w:szCs w:val="24"/>
        </w:rPr>
        <w:t xml:space="preserve">     </w:t>
      </w:r>
      <w:r w:rsidRPr="00173DC3">
        <w:rPr>
          <w:rFonts w:ascii="Times New Roman" w:hAnsi="Times New Roman" w:cs="Times New Roman"/>
          <w:bCs/>
          <w:sz w:val="24"/>
          <w:szCs w:val="24"/>
        </w:rPr>
        <w:t xml:space="preserve"> </w:t>
      </w:r>
      <w:r w:rsidR="007806C0" w:rsidRPr="00173DC3">
        <w:rPr>
          <w:rFonts w:ascii="Times New Roman" w:hAnsi="Times New Roman" w:cs="Times New Roman"/>
          <w:bCs/>
          <w:sz w:val="24"/>
          <w:szCs w:val="24"/>
        </w:rPr>
        <w:t xml:space="preserve">   </w:t>
      </w:r>
      <w:r w:rsidR="00B16DFB" w:rsidRPr="00173DC3">
        <w:rPr>
          <w:rFonts w:ascii="Times New Roman" w:hAnsi="Times New Roman" w:cs="Times New Roman"/>
          <w:bCs/>
          <w:sz w:val="24"/>
          <w:szCs w:val="24"/>
        </w:rPr>
        <w:tab/>
        <w:t xml:space="preserve">   </w:t>
      </w:r>
      <w:r w:rsidR="007252C5" w:rsidRPr="00173DC3">
        <w:rPr>
          <w:rFonts w:ascii="Times New Roman" w:hAnsi="Times New Roman" w:cs="Times New Roman"/>
          <w:bCs/>
          <w:sz w:val="24"/>
          <w:szCs w:val="24"/>
        </w:rPr>
        <w:tab/>
      </w:r>
      <w:r w:rsidR="006D507E" w:rsidRPr="00173DC3">
        <w:rPr>
          <w:rFonts w:ascii="Times New Roman" w:hAnsi="Times New Roman" w:cs="Times New Roman"/>
          <w:bCs/>
          <w:sz w:val="24"/>
          <w:szCs w:val="24"/>
        </w:rPr>
        <w:tab/>
        <w:t xml:space="preserve"> </w:t>
      </w:r>
      <w:r w:rsidRPr="00173DC3">
        <w:rPr>
          <w:rFonts w:ascii="Times New Roman" w:hAnsi="Times New Roman" w:cs="Times New Roman"/>
          <w:bCs/>
          <w:sz w:val="24"/>
          <w:szCs w:val="24"/>
        </w:rPr>
        <w:t xml:space="preserve">K R Y E T A R </w:t>
      </w:r>
      <w:r w:rsidR="007806C0" w:rsidRPr="00173DC3">
        <w:rPr>
          <w:rFonts w:ascii="Times New Roman" w:hAnsi="Times New Roman" w:cs="Times New Roman"/>
          <w:bCs/>
          <w:sz w:val="24"/>
          <w:szCs w:val="24"/>
        </w:rPr>
        <w:t>E</w:t>
      </w:r>
    </w:p>
    <w:p w:rsidR="00976A3C" w:rsidRPr="00173DC3" w:rsidRDefault="00976A3C" w:rsidP="00274C36">
      <w:pPr>
        <w:spacing w:after="0" w:line="240" w:lineRule="auto"/>
        <w:jc w:val="both"/>
        <w:rPr>
          <w:rFonts w:ascii="Times New Roman" w:hAnsi="Times New Roman" w:cs="Times New Roman"/>
          <w:bCs/>
          <w:sz w:val="24"/>
          <w:szCs w:val="24"/>
        </w:rPr>
      </w:pPr>
    </w:p>
    <w:p w:rsidR="00976A3C" w:rsidRPr="00173DC3" w:rsidRDefault="00976A3C" w:rsidP="00274C36">
      <w:pPr>
        <w:spacing w:after="0" w:line="240" w:lineRule="auto"/>
        <w:jc w:val="both"/>
        <w:rPr>
          <w:rFonts w:ascii="Times New Roman" w:hAnsi="Times New Roman" w:cs="Times New Roman"/>
          <w:b/>
          <w:bCs/>
          <w:sz w:val="24"/>
          <w:szCs w:val="24"/>
        </w:rPr>
      </w:pPr>
      <w:r w:rsidRPr="00173DC3">
        <w:rPr>
          <w:rFonts w:ascii="Times New Roman" w:hAnsi="Times New Roman" w:cs="Times New Roman"/>
          <w:b/>
          <w:bCs/>
          <w:sz w:val="24"/>
          <w:szCs w:val="24"/>
        </w:rPr>
        <w:t xml:space="preserve">                                                                                            </w:t>
      </w:r>
      <w:r w:rsidR="00BA1706" w:rsidRPr="00173DC3">
        <w:rPr>
          <w:rFonts w:ascii="Times New Roman" w:hAnsi="Times New Roman" w:cs="Times New Roman"/>
          <w:b/>
          <w:bCs/>
          <w:sz w:val="24"/>
          <w:szCs w:val="24"/>
        </w:rPr>
        <w:t xml:space="preserve">              </w:t>
      </w:r>
      <w:r w:rsidR="007806C0" w:rsidRPr="00173DC3">
        <w:rPr>
          <w:rFonts w:ascii="Times New Roman" w:hAnsi="Times New Roman" w:cs="Times New Roman"/>
          <w:b/>
          <w:bCs/>
          <w:sz w:val="24"/>
          <w:szCs w:val="24"/>
        </w:rPr>
        <w:t xml:space="preserve">  </w:t>
      </w:r>
      <w:r w:rsidR="007252C5" w:rsidRPr="00173DC3">
        <w:rPr>
          <w:rFonts w:ascii="Times New Roman" w:hAnsi="Times New Roman" w:cs="Times New Roman"/>
          <w:b/>
          <w:bCs/>
          <w:sz w:val="24"/>
          <w:szCs w:val="24"/>
        </w:rPr>
        <w:tab/>
        <w:t xml:space="preserve">     </w:t>
      </w:r>
      <w:r w:rsidR="007806C0" w:rsidRPr="00173DC3">
        <w:rPr>
          <w:rFonts w:ascii="Times New Roman" w:hAnsi="Times New Roman" w:cs="Times New Roman"/>
          <w:b/>
          <w:bCs/>
          <w:sz w:val="24"/>
          <w:szCs w:val="24"/>
        </w:rPr>
        <w:t xml:space="preserve"> Lindita NIKOLLA</w:t>
      </w:r>
    </w:p>
    <w:p w:rsidR="00E21A56" w:rsidRPr="00173DC3" w:rsidRDefault="00E21A56" w:rsidP="00274C36">
      <w:pPr>
        <w:spacing w:after="0" w:line="240" w:lineRule="auto"/>
        <w:jc w:val="both"/>
        <w:rPr>
          <w:rFonts w:ascii="Times New Roman" w:hAnsi="Times New Roman" w:cs="Times New Roman"/>
          <w:bCs/>
          <w:sz w:val="24"/>
          <w:szCs w:val="24"/>
        </w:rPr>
      </w:pPr>
    </w:p>
    <w:p w:rsidR="00213234" w:rsidRPr="003B143E" w:rsidRDefault="00976A3C" w:rsidP="00274C36">
      <w:pPr>
        <w:spacing w:after="0" w:line="240" w:lineRule="auto"/>
        <w:jc w:val="both"/>
        <w:rPr>
          <w:rFonts w:ascii="Times New Roman" w:hAnsi="Times New Roman" w:cs="Times New Roman"/>
          <w:bCs/>
          <w:sz w:val="24"/>
          <w:szCs w:val="24"/>
        </w:rPr>
      </w:pPr>
      <w:r w:rsidRPr="00173DC3">
        <w:rPr>
          <w:rFonts w:ascii="Times New Roman" w:hAnsi="Times New Roman" w:cs="Times New Roman"/>
          <w:bCs/>
          <w:sz w:val="24"/>
          <w:szCs w:val="24"/>
        </w:rPr>
        <w:t xml:space="preserve">Miratuar në datën </w:t>
      </w:r>
      <w:r w:rsidR="005133A5" w:rsidRPr="00173DC3">
        <w:rPr>
          <w:rFonts w:ascii="Times New Roman" w:hAnsi="Times New Roman" w:cs="Times New Roman"/>
          <w:bCs/>
          <w:sz w:val="24"/>
          <w:szCs w:val="24"/>
        </w:rPr>
        <w:t>24.11.</w:t>
      </w:r>
      <w:r w:rsidR="00B8668D" w:rsidRPr="00173DC3">
        <w:rPr>
          <w:rFonts w:ascii="Times New Roman" w:hAnsi="Times New Roman" w:cs="Times New Roman"/>
          <w:bCs/>
          <w:sz w:val="24"/>
          <w:szCs w:val="24"/>
        </w:rPr>
        <w:t>202</w:t>
      </w:r>
      <w:r w:rsidR="007252C5" w:rsidRPr="00173DC3">
        <w:rPr>
          <w:rFonts w:ascii="Times New Roman" w:hAnsi="Times New Roman" w:cs="Times New Roman"/>
          <w:bCs/>
          <w:sz w:val="24"/>
          <w:szCs w:val="24"/>
        </w:rPr>
        <w:t>2</w:t>
      </w:r>
      <w:bookmarkStart w:id="0" w:name="_GoBack"/>
      <w:bookmarkEnd w:id="0"/>
    </w:p>
    <w:p w:rsidR="00E21A56" w:rsidRPr="003B143E" w:rsidRDefault="00E21A56" w:rsidP="00274C36">
      <w:pPr>
        <w:spacing w:after="0" w:line="240" w:lineRule="auto"/>
        <w:rPr>
          <w:rFonts w:ascii="Times New Roman" w:eastAsia="Times New Roman" w:hAnsi="Times New Roman" w:cs="Times New Roman"/>
          <w:sz w:val="20"/>
          <w:szCs w:val="20"/>
        </w:rPr>
      </w:pPr>
    </w:p>
    <w:p w:rsidR="00213234" w:rsidRPr="003B143E" w:rsidRDefault="00213234" w:rsidP="00274C36">
      <w:pPr>
        <w:spacing w:after="0" w:line="240" w:lineRule="auto"/>
        <w:rPr>
          <w:rFonts w:ascii="Times New Roman" w:eastAsia="Times New Roman" w:hAnsi="Times New Roman" w:cs="Times New Roman"/>
          <w:sz w:val="20"/>
          <w:szCs w:val="20"/>
        </w:rPr>
      </w:pPr>
    </w:p>
    <w:sectPr w:rsidR="00213234" w:rsidRPr="003B143E" w:rsidSect="003A754D">
      <w:footerReference w:type="default" r:id="rId7"/>
      <w:pgSz w:w="11906" w:h="16838"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C11" w:rsidRDefault="005F0C11" w:rsidP="00420682">
      <w:pPr>
        <w:spacing w:after="0" w:line="240" w:lineRule="auto"/>
      </w:pPr>
      <w:r>
        <w:separator/>
      </w:r>
    </w:p>
  </w:endnote>
  <w:endnote w:type="continuationSeparator" w:id="0">
    <w:p w:rsidR="005F0C11" w:rsidRDefault="005F0C11"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64371"/>
      <w:docPartObj>
        <w:docPartGallery w:val="Page Numbers (Bottom of Page)"/>
        <w:docPartUnique/>
      </w:docPartObj>
    </w:sdtPr>
    <w:sdtEndPr>
      <w:rPr>
        <w:rFonts w:ascii="Times New Roman" w:hAnsi="Times New Roman" w:cs="Times New Roman"/>
        <w:noProof/>
        <w:sz w:val="24"/>
        <w:szCs w:val="24"/>
      </w:rPr>
    </w:sdtEndPr>
    <w:sdtContent>
      <w:p w:rsidR="006A7EA6" w:rsidRPr="006A7EA6" w:rsidRDefault="006A7EA6">
        <w:pPr>
          <w:pStyle w:val="Footer"/>
          <w:jc w:val="center"/>
          <w:rPr>
            <w:rFonts w:ascii="Times New Roman" w:hAnsi="Times New Roman" w:cs="Times New Roman"/>
            <w:sz w:val="24"/>
            <w:szCs w:val="24"/>
          </w:rPr>
        </w:pPr>
        <w:r w:rsidRPr="006A7EA6">
          <w:rPr>
            <w:rFonts w:ascii="Times New Roman" w:hAnsi="Times New Roman" w:cs="Times New Roman"/>
            <w:sz w:val="24"/>
            <w:szCs w:val="24"/>
          </w:rPr>
          <w:fldChar w:fldCharType="begin"/>
        </w:r>
        <w:r w:rsidRPr="006A7EA6">
          <w:rPr>
            <w:rFonts w:ascii="Times New Roman" w:hAnsi="Times New Roman" w:cs="Times New Roman"/>
            <w:sz w:val="24"/>
            <w:szCs w:val="24"/>
          </w:rPr>
          <w:instrText xml:space="preserve"> PAGE   \* MERGEFORMAT </w:instrText>
        </w:r>
        <w:r w:rsidRPr="006A7EA6">
          <w:rPr>
            <w:rFonts w:ascii="Times New Roman" w:hAnsi="Times New Roman" w:cs="Times New Roman"/>
            <w:sz w:val="24"/>
            <w:szCs w:val="24"/>
          </w:rPr>
          <w:fldChar w:fldCharType="separate"/>
        </w:r>
        <w:r w:rsidR="005857A5">
          <w:rPr>
            <w:rFonts w:ascii="Times New Roman" w:hAnsi="Times New Roman" w:cs="Times New Roman"/>
            <w:noProof/>
            <w:sz w:val="24"/>
            <w:szCs w:val="24"/>
          </w:rPr>
          <w:t>7</w:t>
        </w:r>
        <w:r w:rsidRPr="006A7EA6">
          <w:rPr>
            <w:rFonts w:ascii="Times New Roman" w:hAnsi="Times New Roman" w:cs="Times New Roman"/>
            <w:noProof/>
            <w:sz w:val="24"/>
            <w:szCs w:val="24"/>
          </w:rPr>
          <w:fldChar w:fldCharType="end"/>
        </w:r>
      </w:p>
    </w:sdtContent>
  </w:sdt>
  <w:p w:rsidR="006A7EA6" w:rsidRDefault="006A7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C11" w:rsidRDefault="005F0C11" w:rsidP="00420682">
      <w:pPr>
        <w:spacing w:after="0" w:line="240" w:lineRule="auto"/>
      </w:pPr>
      <w:r>
        <w:separator/>
      </w:r>
    </w:p>
  </w:footnote>
  <w:footnote w:type="continuationSeparator" w:id="0">
    <w:p w:rsidR="005F0C11" w:rsidRDefault="005F0C11" w:rsidP="004206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3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1A"/>
    <w:rsid w:val="00002637"/>
    <w:rsid w:val="00020EAE"/>
    <w:rsid w:val="00043C57"/>
    <w:rsid w:val="000468DA"/>
    <w:rsid w:val="00055AB5"/>
    <w:rsid w:val="00060376"/>
    <w:rsid w:val="0006483C"/>
    <w:rsid w:val="00070BBA"/>
    <w:rsid w:val="00072482"/>
    <w:rsid w:val="000765C2"/>
    <w:rsid w:val="0008391F"/>
    <w:rsid w:val="00096985"/>
    <w:rsid w:val="000A3B4D"/>
    <w:rsid w:val="000A577E"/>
    <w:rsid w:val="000D199E"/>
    <w:rsid w:val="000E2566"/>
    <w:rsid w:val="000E5BA6"/>
    <w:rsid w:val="00106F6D"/>
    <w:rsid w:val="00107009"/>
    <w:rsid w:val="00115FEE"/>
    <w:rsid w:val="0012550D"/>
    <w:rsid w:val="00136DA4"/>
    <w:rsid w:val="00143CA1"/>
    <w:rsid w:val="00146D52"/>
    <w:rsid w:val="00153CC5"/>
    <w:rsid w:val="00155BCF"/>
    <w:rsid w:val="00166898"/>
    <w:rsid w:val="00173DC3"/>
    <w:rsid w:val="001816AF"/>
    <w:rsid w:val="00193283"/>
    <w:rsid w:val="001942D4"/>
    <w:rsid w:val="001B796E"/>
    <w:rsid w:val="001C0806"/>
    <w:rsid w:val="001C445C"/>
    <w:rsid w:val="001C5CDE"/>
    <w:rsid w:val="001C6A0A"/>
    <w:rsid w:val="001C7EC0"/>
    <w:rsid w:val="001D2895"/>
    <w:rsid w:val="001F194A"/>
    <w:rsid w:val="002009A1"/>
    <w:rsid w:val="0020160E"/>
    <w:rsid w:val="0020170B"/>
    <w:rsid w:val="0020507F"/>
    <w:rsid w:val="002102C6"/>
    <w:rsid w:val="00213234"/>
    <w:rsid w:val="00214854"/>
    <w:rsid w:val="0021715D"/>
    <w:rsid w:val="00223E8B"/>
    <w:rsid w:val="00233280"/>
    <w:rsid w:val="0024206A"/>
    <w:rsid w:val="00243B60"/>
    <w:rsid w:val="00251A1C"/>
    <w:rsid w:val="00256BDB"/>
    <w:rsid w:val="00262E36"/>
    <w:rsid w:val="00263EF7"/>
    <w:rsid w:val="002645FF"/>
    <w:rsid w:val="00266C06"/>
    <w:rsid w:val="00274C36"/>
    <w:rsid w:val="00275F23"/>
    <w:rsid w:val="002A47D7"/>
    <w:rsid w:val="002C3C14"/>
    <w:rsid w:val="002F5953"/>
    <w:rsid w:val="002F62F0"/>
    <w:rsid w:val="00340569"/>
    <w:rsid w:val="00374FA3"/>
    <w:rsid w:val="0038331D"/>
    <w:rsid w:val="00397541"/>
    <w:rsid w:val="003A38DC"/>
    <w:rsid w:val="003A4DD5"/>
    <w:rsid w:val="003A63A5"/>
    <w:rsid w:val="003A754D"/>
    <w:rsid w:val="003B143E"/>
    <w:rsid w:val="003C48FF"/>
    <w:rsid w:val="003F0FA3"/>
    <w:rsid w:val="003F29A8"/>
    <w:rsid w:val="003F7879"/>
    <w:rsid w:val="00402EF9"/>
    <w:rsid w:val="0041300C"/>
    <w:rsid w:val="00420682"/>
    <w:rsid w:val="00433BCD"/>
    <w:rsid w:val="00445610"/>
    <w:rsid w:val="00446366"/>
    <w:rsid w:val="00453E85"/>
    <w:rsid w:val="00455BBA"/>
    <w:rsid w:val="00460BC4"/>
    <w:rsid w:val="004647DB"/>
    <w:rsid w:val="00474722"/>
    <w:rsid w:val="00477804"/>
    <w:rsid w:val="004860F7"/>
    <w:rsid w:val="004A5884"/>
    <w:rsid w:val="004B12D2"/>
    <w:rsid w:val="004B6ED9"/>
    <w:rsid w:val="004C2DFD"/>
    <w:rsid w:val="004E27FA"/>
    <w:rsid w:val="004E7290"/>
    <w:rsid w:val="004E7E53"/>
    <w:rsid w:val="004F447A"/>
    <w:rsid w:val="004F482A"/>
    <w:rsid w:val="004F7030"/>
    <w:rsid w:val="005133A5"/>
    <w:rsid w:val="005201B5"/>
    <w:rsid w:val="00522FFB"/>
    <w:rsid w:val="00531A97"/>
    <w:rsid w:val="00542102"/>
    <w:rsid w:val="00542F48"/>
    <w:rsid w:val="00550FA3"/>
    <w:rsid w:val="0055575B"/>
    <w:rsid w:val="005726F2"/>
    <w:rsid w:val="00573EE3"/>
    <w:rsid w:val="005767F6"/>
    <w:rsid w:val="005857A5"/>
    <w:rsid w:val="0059342C"/>
    <w:rsid w:val="005A348C"/>
    <w:rsid w:val="005B455F"/>
    <w:rsid w:val="005B6E3F"/>
    <w:rsid w:val="005F0C11"/>
    <w:rsid w:val="0060535D"/>
    <w:rsid w:val="0062077A"/>
    <w:rsid w:val="00621A17"/>
    <w:rsid w:val="00644FD5"/>
    <w:rsid w:val="006465EF"/>
    <w:rsid w:val="00646924"/>
    <w:rsid w:val="00663243"/>
    <w:rsid w:val="0067406E"/>
    <w:rsid w:val="00677E6C"/>
    <w:rsid w:val="006A7EA6"/>
    <w:rsid w:val="006B5D0E"/>
    <w:rsid w:val="006D507E"/>
    <w:rsid w:val="006F4D55"/>
    <w:rsid w:val="00703140"/>
    <w:rsid w:val="0070653E"/>
    <w:rsid w:val="00710307"/>
    <w:rsid w:val="007252C5"/>
    <w:rsid w:val="00726525"/>
    <w:rsid w:val="00736DC8"/>
    <w:rsid w:val="007403CF"/>
    <w:rsid w:val="007654B3"/>
    <w:rsid w:val="00770FAD"/>
    <w:rsid w:val="00774741"/>
    <w:rsid w:val="00776C0D"/>
    <w:rsid w:val="007806C0"/>
    <w:rsid w:val="007A2E0E"/>
    <w:rsid w:val="007C083E"/>
    <w:rsid w:val="007C1400"/>
    <w:rsid w:val="007D23BF"/>
    <w:rsid w:val="007D742E"/>
    <w:rsid w:val="007E2515"/>
    <w:rsid w:val="007E641E"/>
    <w:rsid w:val="00811138"/>
    <w:rsid w:val="00840462"/>
    <w:rsid w:val="00845289"/>
    <w:rsid w:val="0085472C"/>
    <w:rsid w:val="008620E4"/>
    <w:rsid w:val="0086360A"/>
    <w:rsid w:val="008720AB"/>
    <w:rsid w:val="0087264B"/>
    <w:rsid w:val="008914C1"/>
    <w:rsid w:val="00892C77"/>
    <w:rsid w:val="008A1646"/>
    <w:rsid w:val="008C15C7"/>
    <w:rsid w:val="008D12D7"/>
    <w:rsid w:val="008D7297"/>
    <w:rsid w:val="00900D7B"/>
    <w:rsid w:val="0091014E"/>
    <w:rsid w:val="009104DF"/>
    <w:rsid w:val="0093186B"/>
    <w:rsid w:val="00952200"/>
    <w:rsid w:val="00957DEE"/>
    <w:rsid w:val="00970816"/>
    <w:rsid w:val="00970D95"/>
    <w:rsid w:val="00974717"/>
    <w:rsid w:val="00976A3C"/>
    <w:rsid w:val="00991D86"/>
    <w:rsid w:val="0099741A"/>
    <w:rsid w:val="009A4574"/>
    <w:rsid w:val="009A6F98"/>
    <w:rsid w:val="009B6480"/>
    <w:rsid w:val="009E5CAC"/>
    <w:rsid w:val="009F62ED"/>
    <w:rsid w:val="00A06D12"/>
    <w:rsid w:val="00A15DE9"/>
    <w:rsid w:val="00A34D9D"/>
    <w:rsid w:val="00A431DD"/>
    <w:rsid w:val="00A56278"/>
    <w:rsid w:val="00A645A6"/>
    <w:rsid w:val="00A95D0A"/>
    <w:rsid w:val="00AA32E0"/>
    <w:rsid w:val="00AC2686"/>
    <w:rsid w:val="00AF0CE9"/>
    <w:rsid w:val="00B010DA"/>
    <w:rsid w:val="00B03A16"/>
    <w:rsid w:val="00B16DFB"/>
    <w:rsid w:val="00B16EC0"/>
    <w:rsid w:val="00B54D96"/>
    <w:rsid w:val="00B6427E"/>
    <w:rsid w:val="00B67778"/>
    <w:rsid w:val="00B8668D"/>
    <w:rsid w:val="00B95CAE"/>
    <w:rsid w:val="00BA1706"/>
    <w:rsid w:val="00BA5571"/>
    <w:rsid w:val="00BB005F"/>
    <w:rsid w:val="00BB15C8"/>
    <w:rsid w:val="00BD14E1"/>
    <w:rsid w:val="00BD4611"/>
    <w:rsid w:val="00C10624"/>
    <w:rsid w:val="00C4191B"/>
    <w:rsid w:val="00C446ED"/>
    <w:rsid w:val="00C60CAD"/>
    <w:rsid w:val="00C6573D"/>
    <w:rsid w:val="00C8504F"/>
    <w:rsid w:val="00C90FD7"/>
    <w:rsid w:val="00CA0828"/>
    <w:rsid w:val="00CC7CA2"/>
    <w:rsid w:val="00CF0B49"/>
    <w:rsid w:val="00CF4189"/>
    <w:rsid w:val="00CF5B26"/>
    <w:rsid w:val="00D163DD"/>
    <w:rsid w:val="00D2150F"/>
    <w:rsid w:val="00D23C4B"/>
    <w:rsid w:val="00D27458"/>
    <w:rsid w:val="00D45AC2"/>
    <w:rsid w:val="00D60C6B"/>
    <w:rsid w:val="00D707E8"/>
    <w:rsid w:val="00DA56D4"/>
    <w:rsid w:val="00DC03DB"/>
    <w:rsid w:val="00DC0BDC"/>
    <w:rsid w:val="00DC2AC6"/>
    <w:rsid w:val="00DE40B9"/>
    <w:rsid w:val="00DE46AD"/>
    <w:rsid w:val="00DF7124"/>
    <w:rsid w:val="00E02EF5"/>
    <w:rsid w:val="00E21A56"/>
    <w:rsid w:val="00E32B8C"/>
    <w:rsid w:val="00E370B3"/>
    <w:rsid w:val="00E452DA"/>
    <w:rsid w:val="00E50800"/>
    <w:rsid w:val="00E6234F"/>
    <w:rsid w:val="00E72BC5"/>
    <w:rsid w:val="00E76B9D"/>
    <w:rsid w:val="00E95EFD"/>
    <w:rsid w:val="00EC55E7"/>
    <w:rsid w:val="00EC57E8"/>
    <w:rsid w:val="00EE390E"/>
    <w:rsid w:val="00EE7E5D"/>
    <w:rsid w:val="00F0214D"/>
    <w:rsid w:val="00F07F7F"/>
    <w:rsid w:val="00F234B6"/>
    <w:rsid w:val="00F25CF4"/>
    <w:rsid w:val="00F454D3"/>
    <w:rsid w:val="00F52125"/>
    <w:rsid w:val="00F537D2"/>
    <w:rsid w:val="00F60C63"/>
    <w:rsid w:val="00F630AC"/>
    <w:rsid w:val="00F74453"/>
    <w:rsid w:val="00F84F9C"/>
    <w:rsid w:val="00FB5CED"/>
    <w:rsid w:val="00FB7D9E"/>
    <w:rsid w:val="00FC484A"/>
    <w:rsid w:val="00FC631E"/>
    <w:rsid w:val="00FE693E"/>
    <w:rsid w:val="00FF2798"/>
    <w:rsid w:val="00FF7D4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45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85"/>
  </w:style>
  <w:style w:type="paragraph" w:styleId="Footer">
    <w:name w:val="footer"/>
    <w:basedOn w:val="Normal"/>
    <w:link w:val="FooterChar"/>
    <w:uiPriority w:val="99"/>
    <w:unhideWhenUsed/>
    <w:rsid w:val="0045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C57BA-F281-43F7-A8BF-3D853268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8</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gazmend.hanku</dc:creator>
  <cp:keywords/>
  <dc:description/>
  <cp:lastModifiedBy>Ina Dhaskali</cp:lastModifiedBy>
  <cp:revision>217</cp:revision>
  <cp:lastPrinted>2021-11-29T09:49:00Z</cp:lastPrinted>
  <dcterms:created xsi:type="dcterms:W3CDTF">2016-01-20T08:16:00Z</dcterms:created>
  <dcterms:modified xsi:type="dcterms:W3CDTF">2022-12-09T10:49:00Z</dcterms:modified>
</cp:coreProperties>
</file>